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6D" w:rsidRPr="007D3040" w:rsidRDefault="00C1393A" w:rsidP="007D3040">
      <w:pPr>
        <w:spacing w:after="120" w:line="360" w:lineRule="auto"/>
        <w:jc w:val="center"/>
        <w:rPr>
          <w:lang w:val="en-NZ"/>
        </w:rPr>
      </w:pPr>
      <w:bookmarkStart w:id="0" w:name="_GoBack"/>
      <w:bookmarkEnd w:id="0"/>
      <w:r w:rsidRPr="007D3040">
        <w:rPr>
          <w:b/>
          <w:bCs/>
          <w:sz w:val="28"/>
          <w:szCs w:val="28"/>
          <w:lang w:val="en-NZ"/>
        </w:rPr>
        <w:t xml:space="preserve">Accounting </w:t>
      </w:r>
      <w:r>
        <w:rPr>
          <w:b/>
          <w:bCs/>
          <w:sz w:val="28"/>
          <w:szCs w:val="28"/>
          <w:lang w:val="en-NZ"/>
        </w:rPr>
        <w:t>h</w:t>
      </w:r>
      <w:r w:rsidRPr="007D3040">
        <w:rPr>
          <w:b/>
          <w:bCs/>
          <w:sz w:val="28"/>
          <w:szCs w:val="28"/>
          <w:lang w:val="en-NZ"/>
        </w:rPr>
        <w:t xml:space="preserve">istory and </w:t>
      </w:r>
      <w:r>
        <w:rPr>
          <w:b/>
          <w:bCs/>
          <w:sz w:val="28"/>
          <w:szCs w:val="28"/>
          <w:lang w:val="en-NZ"/>
        </w:rPr>
        <w:t>r</w:t>
      </w:r>
      <w:r w:rsidRPr="007D3040">
        <w:rPr>
          <w:b/>
          <w:bCs/>
          <w:sz w:val="28"/>
          <w:szCs w:val="28"/>
          <w:lang w:val="en-NZ"/>
        </w:rPr>
        <w:t xml:space="preserve">eligion: </w:t>
      </w:r>
      <w:r>
        <w:rPr>
          <w:b/>
          <w:bCs/>
          <w:sz w:val="28"/>
          <w:szCs w:val="28"/>
          <w:lang w:val="en-NZ"/>
        </w:rPr>
        <w:t>A</w:t>
      </w:r>
      <w:r w:rsidRPr="007D3040">
        <w:rPr>
          <w:b/>
          <w:bCs/>
          <w:sz w:val="28"/>
          <w:szCs w:val="28"/>
          <w:lang w:val="en-NZ"/>
        </w:rPr>
        <w:t xml:space="preserve"> review of studies and a research agenda</w:t>
      </w:r>
      <w:r w:rsidRPr="007D3040">
        <w:rPr>
          <w:b/>
          <w:bCs/>
          <w:sz w:val="28"/>
          <w:szCs w:val="28"/>
          <w:lang w:val="en-NZ"/>
        </w:rPr>
        <w:br/>
      </w:r>
    </w:p>
    <w:p w:rsidR="00366B6D" w:rsidRPr="007D3040" w:rsidRDefault="000D1A57" w:rsidP="007D3040">
      <w:pPr>
        <w:spacing w:after="120" w:line="360" w:lineRule="auto"/>
        <w:rPr>
          <w:b/>
          <w:bCs/>
          <w:lang w:val="en-NZ"/>
        </w:rPr>
      </w:pPr>
      <w:r w:rsidRPr="007D3040">
        <w:rPr>
          <w:b/>
          <w:bCs/>
          <w:lang w:val="en-NZ"/>
        </w:rPr>
        <w:t>Abstract:</w:t>
      </w:r>
    </w:p>
    <w:p w:rsidR="00366B6D" w:rsidRPr="007D3040" w:rsidRDefault="000D1A57" w:rsidP="007D3040">
      <w:pPr>
        <w:spacing w:after="120" w:line="360" w:lineRule="auto"/>
        <w:rPr>
          <w:b/>
          <w:bCs/>
          <w:lang w:val="en-NZ"/>
        </w:rPr>
      </w:pPr>
      <w:r w:rsidRPr="007D3040">
        <w:rPr>
          <w:lang w:val="en-NZ"/>
        </w:rPr>
        <w:t xml:space="preserve">Since around 2003, the number and extent of studies into accounting history and religion has increased significantly from their prior scarcity. This growing interest in the junction of accounting, religion and theology recognises the social and economic importance of belief systems and religious institutions. Yet, publications are unevenly distributed, </w:t>
      </w:r>
      <w:r w:rsidR="00854741">
        <w:rPr>
          <w:lang w:val="en-NZ"/>
        </w:rPr>
        <w:t>with a focus on a micro-</w:t>
      </w:r>
      <w:r w:rsidR="00F37792">
        <w:rPr>
          <w:lang w:val="en-NZ"/>
        </w:rPr>
        <w:t>perspective</w:t>
      </w:r>
      <w:r w:rsidR="00C74E55">
        <w:rPr>
          <w:lang w:val="en-NZ"/>
        </w:rPr>
        <w:t xml:space="preserve"> - analysing</w:t>
      </w:r>
      <w:r w:rsidR="00F37792">
        <w:rPr>
          <w:lang w:val="en-NZ"/>
        </w:rPr>
        <w:t xml:space="preserve"> the manner in which accounting is practised within organisations. F</w:t>
      </w:r>
      <w:r w:rsidRPr="007D3040">
        <w:rPr>
          <w:lang w:val="en-NZ"/>
        </w:rPr>
        <w:t xml:space="preserve">ew studies </w:t>
      </w:r>
      <w:r w:rsidR="00854741">
        <w:rPr>
          <w:lang w:val="en-NZ"/>
        </w:rPr>
        <w:t xml:space="preserve">take a macro-perspective to consider </w:t>
      </w:r>
      <w:r w:rsidR="00F37792">
        <w:rPr>
          <w:lang w:val="en-NZ"/>
        </w:rPr>
        <w:t xml:space="preserve">how religion </w:t>
      </w:r>
      <w:r w:rsidR="0028771F">
        <w:rPr>
          <w:lang w:val="en-NZ"/>
        </w:rPr>
        <w:t>influenced</w:t>
      </w:r>
      <w:r w:rsidR="00F37792">
        <w:rPr>
          <w:lang w:val="en-NZ"/>
        </w:rPr>
        <w:t xml:space="preserve"> </w:t>
      </w:r>
      <w:r w:rsidR="00854741">
        <w:rPr>
          <w:lang w:val="en-NZ"/>
        </w:rPr>
        <w:t xml:space="preserve">(or potentially </w:t>
      </w:r>
      <w:r w:rsidR="0028771F">
        <w:rPr>
          <w:lang w:val="en-NZ"/>
        </w:rPr>
        <w:t xml:space="preserve">could </w:t>
      </w:r>
      <w:r w:rsidR="00F37792">
        <w:rPr>
          <w:lang w:val="en-NZ"/>
        </w:rPr>
        <w:t>influence</w:t>
      </w:r>
      <w:r w:rsidR="0028771F">
        <w:rPr>
          <w:lang w:val="en-NZ"/>
        </w:rPr>
        <w:t>)</w:t>
      </w:r>
      <w:r w:rsidR="00F37792">
        <w:rPr>
          <w:lang w:val="en-NZ"/>
        </w:rPr>
        <w:t xml:space="preserve"> accounting outside of </w:t>
      </w:r>
      <w:r w:rsidR="00C92D9F">
        <w:rPr>
          <w:lang w:val="en-NZ"/>
        </w:rPr>
        <w:t>religious</w:t>
      </w:r>
      <w:r w:rsidR="00F37792">
        <w:rPr>
          <w:lang w:val="en-NZ"/>
        </w:rPr>
        <w:t xml:space="preserve"> institutions. </w:t>
      </w:r>
      <w:r w:rsidRPr="007D3040">
        <w:rPr>
          <w:lang w:val="en-NZ"/>
        </w:rPr>
        <w:t>The purpose of this paper is to review the contributions in the last three decades</w:t>
      </w:r>
      <w:r w:rsidR="00C92D9F">
        <w:rPr>
          <w:lang w:val="en-NZ"/>
        </w:rPr>
        <w:t>,</w:t>
      </w:r>
      <w:r w:rsidRPr="007D3040">
        <w:rPr>
          <w:lang w:val="en-NZ"/>
        </w:rPr>
        <w:t xml:space="preserve"> to highlight the topics that remain relatively unexplored, and </w:t>
      </w:r>
      <w:r w:rsidR="0070092E">
        <w:rPr>
          <w:lang w:val="en-NZ"/>
        </w:rPr>
        <w:t xml:space="preserve">thus </w:t>
      </w:r>
      <w:r w:rsidRPr="007D3040">
        <w:rPr>
          <w:lang w:val="en-NZ"/>
        </w:rPr>
        <w:t xml:space="preserve">to encourage more research into accounting history and religion. Opportunities for extending knowledge include: </w:t>
      </w:r>
      <w:r w:rsidR="00C92D9F">
        <w:rPr>
          <w:lang w:val="en-NZ"/>
        </w:rPr>
        <w:t xml:space="preserve">comparative studies, studies of countries, people and </w:t>
      </w:r>
      <w:r w:rsidRPr="007D3040">
        <w:rPr>
          <w:lang w:val="en-NZ"/>
        </w:rPr>
        <w:t>faiths that have been left largely unexplored</w:t>
      </w:r>
      <w:r w:rsidR="00C74E55">
        <w:rPr>
          <w:lang w:val="en-NZ"/>
        </w:rPr>
        <w:t>,</w:t>
      </w:r>
      <w:r w:rsidRPr="007D3040">
        <w:rPr>
          <w:lang w:val="en-NZ"/>
        </w:rPr>
        <w:t xml:space="preserve"> and from theologians and </w:t>
      </w:r>
      <w:r w:rsidR="00AD19F7">
        <w:rPr>
          <w:lang w:val="en-NZ"/>
        </w:rPr>
        <w:t xml:space="preserve">key </w:t>
      </w:r>
      <w:r w:rsidRPr="007D3040">
        <w:rPr>
          <w:lang w:val="en-NZ"/>
        </w:rPr>
        <w:t>concepts (such as ethics) which impact academic understandings</w:t>
      </w:r>
      <w:r w:rsidR="0070092E">
        <w:rPr>
          <w:lang w:val="en-NZ"/>
        </w:rPr>
        <w:t>,</w:t>
      </w:r>
      <w:r w:rsidRPr="007D3040">
        <w:rPr>
          <w:lang w:val="en-NZ"/>
        </w:rPr>
        <w:t xml:space="preserve"> as well as the practical application, of accounting. </w:t>
      </w:r>
    </w:p>
    <w:p w:rsidR="00366B6D" w:rsidRPr="007D3040" w:rsidRDefault="00366B6D" w:rsidP="007D3040">
      <w:pPr>
        <w:spacing w:after="120" w:line="360" w:lineRule="auto"/>
        <w:rPr>
          <w:b/>
          <w:bCs/>
          <w:lang w:val="en-NZ"/>
        </w:rPr>
      </w:pPr>
    </w:p>
    <w:p w:rsidR="00366B6D" w:rsidRDefault="000D1A57" w:rsidP="007D3040">
      <w:pPr>
        <w:spacing w:after="120" w:line="360" w:lineRule="auto"/>
        <w:ind w:left="720" w:hanging="720"/>
        <w:rPr>
          <w:lang w:val="en-NZ"/>
        </w:rPr>
      </w:pPr>
      <w:r w:rsidRPr="007D3040">
        <w:rPr>
          <w:b/>
          <w:bCs/>
          <w:lang w:val="en-NZ"/>
        </w:rPr>
        <w:t>Key words:</w:t>
      </w:r>
      <w:r w:rsidRPr="007D3040">
        <w:rPr>
          <w:lang w:val="en-NZ"/>
        </w:rPr>
        <w:t xml:space="preserve"> Accounting history; religion; </w:t>
      </w:r>
      <w:r w:rsidR="00AD19F7">
        <w:rPr>
          <w:lang w:val="en-NZ"/>
        </w:rPr>
        <w:t>literature</w:t>
      </w:r>
      <w:r w:rsidRPr="007D3040">
        <w:rPr>
          <w:lang w:val="en-NZ"/>
        </w:rPr>
        <w:t xml:space="preserve"> </w:t>
      </w:r>
      <w:r w:rsidR="00C1393A">
        <w:rPr>
          <w:lang w:val="en-NZ"/>
        </w:rPr>
        <w:t>analysis</w:t>
      </w:r>
      <w:r w:rsidRPr="007D3040">
        <w:rPr>
          <w:lang w:val="en-NZ"/>
        </w:rPr>
        <w:t>; sacred-secular divide; accountability</w:t>
      </w:r>
    </w:p>
    <w:p w:rsidR="00F37792" w:rsidRDefault="00F37792" w:rsidP="007D3040">
      <w:pPr>
        <w:spacing w:after="120" w:line="360" w:lineRule="auto"/>
        <w:ind w:left="720" w:hanging="720"/>
        <w:rPr>
          <w:b/>
          <w:bCs/>
          <w:lang w:val="en-NZ"/>
        </w:rPr>
      </w:pPr>
    </w:p>
    <w:p w:rsidR="00F37792" w:rsidRPr="007D3040" w:rsidRDefault="00F37792" w:rsidP="00F37792">
      <w:pPr>
        <w:spacing w:after="120" w:line="360" w:lineRule="auto"/>
        <w:ind w:left="720" w:hanging="720"/>
        <w:rPr>
          <w:b/>
          <w:bCs/>
          <w:lang w:val="en-NZ"/>
        </w:rPr>
      </w:pPr>
    </w:p>
    <w:p w:rsidR="00366B6D" w:rsidRPr="007D3040" w:rsidRDefault="000D1A57" w:rsidP="007D3040">
      <w:pPr>
        <w:spacing w:after="120" w:line="360" w:lineRule="auto"/>
        <w:jc w:val="center"/>
        <w:rPr>
          <w:lang w:val="en-NZ"/>
        </w:rPr>
      </w:pPr>
      <w:r w:rsidRPr="007D3040">
        <w:rPr>
          <w:b/>
          <w:bCs/>
          <w:lang w:val="en-NZ"/>
        </w:rPr>
        <w:br w:type="column"/>
      </w:r>
      <w:r w:rsidRPr="007D3040">
        <w:rPr>
          <w:b/>
          <w:bCs/>
          <w:sz w:val="28"/>
          <w:szCs w:val="28"/>
          <w:lang w:val="en-NZ"/>
        </w:rPr>
        <w:lastRenderedPageBreak/>
        <w:t xml:space="preserve">Accounting </w:t>
      </w:r>
      <w:r w:rsidR="00C1393A">
        <w:rPr>
          <w:b/>
          <w:bCs/>
          <w:sz w:val="28"/>
          <w:szCs w:val="28"/>
          <w:lang w:val="en-NZ"/>
        </w:rPr>
        <w:t>h</w:t>
      </w:r>
      <w:r w:rsidRPr="007D3040">
        <w:rPr>
          <w:b/>
          <w:bCs/>
          <w:sz w:val="28"/>
          <w:szCs w:val="28"/>
          <w:lang w:val="en-NZ"/>
        </w:rPr>
        <w:t xml:space="preserve">istory and </w:t>
      </w:r>
      <w:r w:rsidR="00C1393A">
        <w:rPr>
          <w:b/>
          <w:bCs/>
          <w:sz w:val="28"/>
          <w:szCs w:val="28"/>
          <w:lang w:val="en-NZ"/>
        </w:rPr>
        <w:t>r</w:t>
      </w:r>
      <w:r w:rsidRPr="007D3040">
        <w:rPr>
          <w:b/>
          <w:bCs/>
          <w:sz w:val="28"/>
          <w:szCs w:val="28"/>
          <w:lang w:val="en-NZ"/>
        </w:rPr>
        <w:t xml:space="preserve">eligion: </w:t>
      </w:r>
      <w:r w:rsidR="00C1393A">
        <w:rPr>
          <w:b/>
          <w:bCs/>
          <w:sz w:val="28"/>
          <w:szCs w:val="28"/>
          <w:lang w:val="en-NZ"/>
        </w:rPr>
        <w:t>A</w:t>
      </w:r>
      <w:r w:rsidRPr="007D3040">
        <w:rPr>
          <w:b/>
          <w:bCs/>
          <w:sz w:val="28"/>
          <w:szCs w:val="28"/>
          <w:lang w:val="en-NZ"/>
        </w:rPr>
        <w:t xml:space="preserve"> review of studies and a research agenda</w:t>
      </w:r>
      <w:r w:rsidRPr="007D3040">
        <w:rPr>
          <w:b/>
          <w:bCs/>
          <w:sz w:val="28"/>
          <w:szCs w:val="28"/>
          <w:lang w:val="en-NZ"/>
        </w:rPr>
        <w:br/>
      </w:r>
    </w:p>
    <w:p w:rsidR="00366B6D" w:rsidRPr="007D3040" w:rsidRDefault="000D1A57" w:rsidP="007D3040">
      <w:pPr>
        <w:spacing w:after="120" w:line="360" w:lineRule="auto"/>
        <w:rPr>
          <w:b/>
          <w:bCs/>
          <w:lang w:val="en-NZ"/>
        </w:rPr>
      </w:pPr>
      <w:r w:rsidRPr="007D3040">
        <w:rPr>
          <w:b/>
          <w:bCs/>
          <w:lang w:val="en-NZ"/>
        </w:rPr>
        <w:t>1. Introduction</w:t>
      </w:r>
    </w:p>
    <w:p w:rsidR="002925AE" w:rsidRPr="002925AE" w:rsidRDefault="002925AE" w:rsidP="00B7040E">
      <w:pPr>
        <w:spacing w:line="360" w:lineRule="auto"/>
        <w:rPr>
          <w:rFonts w:hAnsi="Times New Roman" w:cs="Times New Roman"/>
        </w:rPr>
      </w:pPr>
      <w:r w:rsidRPr="002925AE">
        <w:rPr>
          <w:rFonts w:hAnsi="Times New Roman" w:cs="Times New Roman"/>
        </w:rPr>
        <w:t xml:space="preserve">A decade ago, in introducing a special issue on the topic, Carmona and Ezzamel (2006: 117) noted that “[r]esearch on the relationship between accounting and religion or religious institutions is remarkably sparse”, despite these institutions’ influence in society. For example, in Fleischman and Radcliffe’s (2005) review of major developments in accounting history during the 1990s, no studies of religion were listed, and Baňos-Sánchez Matamoros and Gutiérrez-Hidalgo (2010) estimate that in the period 2000-2008, merely three per cent of papers published in the main accounting history journals were in the ‘religious sector’.  </w:t>
      </w:r>
    </w:p>
    <w:p w:rsidR="002925AE" w:rsidRPr="002925AE" w:rsidRDefault="002925AE" w:rsidP="002925AE">
      <w:pPr>
        <w:spacing w:line="360" w:lineRule="auto"/>
        <w:ind w:firstLine="720"/>
        <w:rPr>
          <w:rFonts w:hAnsi="Times New Roman" w:cs="Times New Roman"/>
        </w:rPr>
      </w:pPr>
      <w:r w:rsidRPr="002925AE">
        <w:rPr>
          <w:rFonts w:hAnsi="Times New Roman" w:cs="Times New Roman"/>
        </w:rPr>
        <w:t xml:space="preserve">In the contemporary context, McPhail, Gorringe and Gray (2004) note some concern that accounting academe may not have taken religion and theology seriously. Nevertheless, Walker (2006: 114) notes “increasing interest in the intersections between accounting and religion in historical contexts”. Such interest reflects the social and economic importance of religious organisations, particularly in the historical context permeated by religion, and where religion provided the roots of institutional life. Examples include accounting in early Egyptian funerary temples (Ezzamel, 1997), parishes and therefore the </w:t>
      </w:r>
      <w:r w:rsidR="00C661C6">
        <w:rPr>
          <w:rFonts w:hAnsi="Times New Roman" w:cs="Times New Roman"/>
        </w:rPr>
        <w:t>inception</w:t>
      </w:r>
      <w:r w:rsidRPr="002925AE">
        <w:rPr>
          <w:rFonts w:hAnsi="Times New Roman" w:cs="Times New Roman"/>
        </w:rPr>
        <w:t xml:space="preserve"> of local government in Britain (Webb and Webb, 1924), Jewish temples (Fonfeder, Holtzman and Maccarrone, 2003), and Buddhist temples (Liyanarachchi, 2009). As </w:t>
      </w:r>
      <w:r w:rsidR="00C1393A">
        <w:rPr>
          <w:rFonts w:hAnsi="Times New Roman" w:cs="Times New Roman"/>
        </w:rPr>
        <w:t>religious organisations</w:t>
      </w:r>
      <w:r w:rsidRPr="002925AE">
        <w:rPr>
          <w:rFonts w:hAnsi="Times New Roman" w:cs="Times New Roman"/>
        </w:rPr>
        <w:t xml:space="preserve"> developed, not only did social understandings of organisational practice and governance mature, but accounting and accountability were ‘born’, progressed and matured. Accounting and accountability were fundamental to the growth of these religious institutions (e.g. Dobie, 2008b; H</w:t>
      </w:r>
      <w:r w:rsidR="00FB245B">
        <w:rPr>
          <w:rFonts w:hAnsi="Times New Roman" w:cs="Times New Roman"/>
        </w:rPr>
        <w:t>o</w:t>
      </w:r>
      <w:r w:rsidRPr="002925AE">
        <w:rPr>
          <w:rFonts w:hAnsi="Times New Roman" w:cs="Times New Roman"/>
        </w:rPr>
        <w:t>ng, 2014), and religious institutions were also central to the progression of accounting (e.g.</w:t>
      </w:r>
      <w:r w:rsidR="000A15E4">
        <w:rPr>
          <w:rFonts w:hAnsi="Times New Roman" w:cs="Times New Roman"/>
        </w:rPr>
        <w:t xml:space="preserve"> Ornatowski, 1996, Rothstein and Brom, 2013)</w:t>
      </w:r>
      <w:r w:rsidRPr="002925AE">
        <w:rPr>
          <w:rFonts w:hAnsi="Times New Roman" w:cs="Times New Roman"/>
        </w:rPr>
        <w:t xml:space="preserve">. Further, individual’s faith informed their accounting to, and </w:t>
      </w:r>
      <w:r w:rsidR="00C74E55">
        <w:rPr>
          <w:rFonts w:hAnsi="Times New Roman" w:cs="Times New Roman"/>
        </w:rPr>
        <w:t>in</w:t>
      </w:r>
      <w:r w:rsidRPr="002925AE">
        <w:rPr>
          <w:rFonts w:hAnsi="Times New Roman" w:cs="Times New Roman"/>
        </w:rPr>
        <w:t xml:space="preserve">, institutions (e.g. Cordery, 2006), and theology has elucidated concepts that are central to accounting (e.g. Aho, 2005; Baker, 2006; Moerman, 2008). </w:t>
      </w:r>
    </w:p>
    <w:p w:rsidR="002925AE" w:rsidRPr="002925AE" w:rsidRDefault="002925AE" w:rsidP="002925AE">
      <w:pPr>
        <w:spacing w:line="360" w:lineRule="auto"/>
        <w:ind w:firstLine="720"/>
        <w:rPr>
          <w:rFonts w:hAnsi="Times New Roman" w:cs="Times New Roman"/>
        </w:rPr>
      </w:pPr>
      <w:r w:rsidRPr="002925AE">
        <w:rPr>
          <w:rFonts w:hAnsi="Times New Roman" w:cs="Times New Roman"/>
        </w:rPr>
        <w:t xml:space="preserve">Thus, those who seek to understand, broaden and improve contemporary accounting through a better understanding of history, find accounting to be inseparable from its religious, social and institutional context. The imperative is </w:t>
      </w:r>
      <w:r w:rsidRPr="002925AE">
        <w:rPr>
          <w:rFonts w:hAnsi="Times New Roman" w:cs="Times New Roman"/>
        </w:rPr>
        <w:lastRenderedPageBreak/>
        <w:t>therefore to reflect on whether the research agenda of accounting history and religion is being progressively built upon, or whether contributions are relatively unconnected. How ecumenical or catholic are the contributions when considered as a body of knowledge? How has our understanding of the relationship between accounting and religion altered, and how does this change over time? Such connections, breadth and depth, are required if accounting’s potential is to be realised.</w:t>
      </w:r>
    </w:p>
    <w:p w:rsidR="00633C2C" w:rsidRDefault="002925AE" w:rsidP="00E15EC3">
      <w:pPr>
        <w:spacing w:line="360" w:lineRule="auto"/>
        <w:ind w:firstLine="720"/>
        <w:rPr>
          <w:rFonts w:hAnsi="Times New Roman" w:cs="Times New Roman"/>
        </w:rPr>
      </w:pPr>
      <w:r w:rsidRPr="002925AE">
        <w:rPr>
          <w:rFonts w:hAnsi="Times New Roman" w:cs="Times New Roman"/>
        </w:rPr>
        <w:t xml:space="preserve">Accordingly, it is the purpose of this paper to review the contributions in the last three decades by research source, time period, theoretical framework/theme, as well as by faith and region. </w:t>
      </w:r>
      <w:r w:rsidR="00A72765">
        <w:rPr>
          <w:rFonts w:hAnsi="Times New Roman" w:cs="Times New Roman"/>
        </w:rPr>
        <w:t>This affords two</w:t>
      </w:r>
      <w:r w:rsidR="00633C2C">
        <w:rPr>
          <w:rFonts w:hAnsi="Times New Roman" w:cs="Times New Roman"/>
        </w:rPr>
        <w:t xml:space="preserve"> views of the contribution</w:t>
      </w:r>
      <w:r w:rsidR="00557EA0">
        <w:rPr>
          <w:rFonts w:hAnsi="Times New Roman" w:cs="Times New Roman"/>
        </w:rPr>
        <w:t>s</w:t>
      </w:r>
      <w:r w:rsidR="00A72765">
        <w:rPr>
          <w:rFonts w:hAnsi="Times New Roman" w:cs="Times New Roman"/>
        </w:rPr>
        <w:t>,</w:t>
      </w:r>
      <w:r w:rsidR="00557EA0">
        <w:rPr>
          <w:rFonts w:hAnsi="Times New Roman" w:cs="Times New Roman"/>
        </w:rPr>
        <w:t xml:space="preserve"> provid</w:t>
      </w:r>
      <w:r w:rsidR="00A72765">
        <w:rPr>
          <w:rFonts w:hAnsi="Times New Roman" w:cs="Times New Roman"/>
        </w:rPr>
        <w:t>ing</w:t>
      </w:r>
      <w:r w:rsidR="00557EA0">
        <w:rPr>
          <w:rFonts w:hAnsi="Times New Roman" w:cs="Times New Roman"/>
        </w:rPr>
        <w:t xml:space="preserve"> a theorization at </w:t>
      </w:r>
      <w:r w:rsidR="00557EA0" w:rsidRPr="00953DEC">
        <w:rPr>
          <w:rFonts w:hAnsi="Times New Roman" w:cs="Times New Roman"/>
        </w:rPr>
        <w:t xml:space="preserve">level two </w:t>
      </w:r>
      <w:r w:rsidR="005A423D" w:rsidRPr="00953DEC">
        <w:t xml:space="preserve">(i.e. differentiation theories) </w:t>
      </w:r>
      <w:r w:rsidR="00557EA0" w:rsidRPr="00953DEC">
        <w:rPr>
          <w:rFonts w:hAnsi="Times New Roman" w:cs="Times New Roman"/>
        </w:rPr>
        <w:t>in</w:t>
      </w:r>
      <w:r w:rsidR="00557EA0">
        <w:rPr>
          <w:rFonts w:hAnsi="Times New Roman" w:cs="Times New Roman"/>
        </w:rPr>
        <w:t xml:space="preserve"> terms of the schema offered by Llewellyn (2003)</w:t>
      </w:r>
      <w:r w:rsidR="00A72765">
        <w:rPr>
          <w:rFonts w:hAnsi="Times New Roman" w:cs="Times New Roman"/>
        </w:rPr>
        <w:t>. Further</w:t>
      </w:r>
      <w:r w:rsidR="00633C2C">
        <w:rPr>
          <w:rFonts w:hAnsi="Times New Roman" w:cs="Times New Roman"/>
        </w:rPr>
        <w:t xml:space="preserve">, </w:t>
      </w:r>
      <w:r w:rsidR="00557EA0">
        <w:rPr>
          <w:rFonts w:hAnsi="Times New Roman" w:cs="Times New Roman"/>
        </w:rPr>
        <w:t>the paper refines th</w:t>
      </w:r>
      <w:r w:rsidR="00A72765">
        <w:rPr>
          <w:rFonts w:hAnsi="Times New Roman" w:cs="Times New Roman"/>
        </w:rPr>
        <w:t>ose views</w:t>
      </w:r>
      <w:r w:rsidR="00557EA0">
        <w:rPr>
          <w:rFonts w:hAnsi="Times New Roman" w:cs="Times New Roman"/>
        </w:rPr>
        <w:t xml:space="preserve"> through a conceptual framing similar to that used by </w:t>
      </w:r>
      <w:r w:rsidR="00633C2C">
        <w:rPr>
          <w:rFonts w:hAnsi="Times New Roman" w:cs="Times New Roman"/>
        </w:rPr>
        <w:t>Carmona and Ezzamel (2009)</w:t>
      </w:r>
      <w:r w:rsidR="00A72765">
        <w:rPr>
          <w:rFonts w:hAnsi="Times New Roman" w:cs="Times New Roman"/>
        </w:rPr>
        <w:t>,</w:t>
      </w:r>
      <w:r w:rsidR="00557EA0">
        <w:rPr>
          <w:rFonts w:hAnsi="Times New Roman" w:cs="Times New Roman"/>
        </w:rPr>
        <w:t xml:space="preserve"> </w:t>
      </w:r>
      <w:r w:rsidR="00633C2C">
        <w:rPr>
          <w:rFonts w:hAnsi="Times New Roman" w:cs="Times New Roman"/>
        </w:rPr>
        <w:t xml:space="preserve">by bisecting </w:t>
      </w:r>
      <w:r w:rsidR="00A72765">
        <w:rPr>
          <w:rFonts w:hAnsi="Times New Roman" w:cs="Times New Roman"/>
        </w:rPr>
        <w:t>contributions</w:t>
      </w:r>
      <w:r w:rsidR="00633C2C">
        <w:rPr>
          <w:rFonts w:hAnsi="Times New Roman" w:cs="Times New Roman"/>
        </w:rPr>
        <w:t xml:space="preserve"> into ‘micro’ and ‘macro’ perspectives</w:t>
      </w:r>
      <w:r w:rsidR="00A72765">
        <w:rPr>
          <w:rFonts w:hAnsi="Times New Roman" w:cs="Times New Roman"/>
        </w:rPr>
        <w:t>. M</w:t>
      </w:r>
      <w:r w:rsidR="00633C2C">
        <w:rPr>
          <w:rFonts w:hAnsi="Times New Roman" w:cs="Times New Roman"/>
        </w:rPr>
        <w:t>icro studies reflect on how accounting has influenced religious organisations’ functioning, and macro perspectives analyse how religious thought has influenced business and social contexts.</w:t>
      </w:r>
      <w:r w:rsidR="00633C2C">
        <w:rPr>
          <w:rStyle w:val="EndnoteReference"/>
          <w:rFonts w:hAnsi="Times New Roman" w:cs="Times New Roman"/>
        </w:rPr>
        <w:endnoteReference w:id="2"/>
      </w:r>
      <w:r w:rsidR="00E15EC3">
        <w:rPr>
          <w:rFonts w:hAnsi="Times New Roman" w:cs="Times New Roman"/>
        </w:rPr>
        <w:t xml:space="preserve"> </w:t>
      </w:r>
      <w:r w:rsidR="00557EA0">
        <w:rPr>
          <w:rFonts w:hAnsi="Times New Roman" w:cs="Times New Roman"/>
        </w:rPr>
        <w:t xml:space="preserve">The micro-macro refinement sharpens the distinctions in the structured categorisations, thus enabling further theorisations (Llewellyn, 2003). </w:t>
      </w:r>
    </w:p>
    <w:p w:rsidR="002925AE" w:rsidRPr="002925AE" w:rsidRDefault="00557EA0" w:rsidP="002925AE">
      <w:pPr>
        <w:spacing w:line="360" w:lineRule="auto"/>
        <w:ind w:firstLine="720"/>
        <w:rPr>
          <w:rFonts w:hAnsi="Times New Roman" w:cs="Times New Roman"/>
        </w:rPr>
      </w:pPr>
      <w:r>
        <w:rPr>
          <w:rFonts w:hAnsi="Times New Roman" w:cs="Times New Roman"/>
        </w:rPr>
        <w:t xml:space="preserve">The paper proceeds as follows. </w:t>
      </w:r>
      <w:r w:rsidR="002925AE" w:rsidRPr="002925AE">
        <w:rPr>
          <w:rFonts w:hAnsi="Times New Roman" w:cs="Times New Roman"/>
        </w:rPr>
        <w:t xml:space="preserve">First, section two describes the method, and in section three the categorisation is presented. As can be seen from Table 1 below, </w:t>
      </w:r>
      <w:r w:rsidR="0070092E">
        <w:rPr>
          <w:rFonts w:hAnsi="Times New Roman" w:cs="Times New Roman"/>
        </w:rPr>
        <w:t>12</w:t>
      </w:r>
      <w:r w:rsidR="002925AE" w:rsidRPr="002925AE">
        <w:rPr>
          <w:rFonts w:hAnsi="Times New Roman" w:cs="Times New Roman"/>
        </w:rPr>
        <w:t xml:space="preserve"> (</w:t>
      </w:r>
      <w:r w:rsidR="0070092E">
        <w:rPr>
          <w:rFonts w:hAnsi="Times New Roman" w:cs="Times New Roman"/>
        </w:rPr>
        <w:t>13</w:t>
      </w:r>
      <w:r w:rsidR="002925AE" w:rsidRPr="002925AE">
        <w:rPr>
          <w:rFonts w:hAnsi="Times New Roman" w:cs="Times New Roman"/>
        </w:rPr>
        <w:t xml:space="preserve"> per cent) of the studies reviewed explored the antecedents of accounting, and these are also discussed in section three. The </w:t>
      </w:r>
      <w:r w:rsidR="000A15E4">
        <w:rPr>
          <w:rFonts w:hAnsi="Times New Roman" w:cs="Times New Roman"/>
        </w:rPr>
        <w:t xml:space="preserve">explicit </w:t>
      </w:r>
      <w:r w:rsidR="002925AE" w:rsidRPr="002925AE">
        <w:rPr>
          <w:rFonts w:hAnsi="Times New Roman" w:cs="Times New Roman"/>
        </w:rPr>
        <w:t xml:space="preserve">theoretical focus </w:t>
      </w:r>
      <w:r w:rsidR="00A72765">
        <w:rPr>
          <w:rFonts w:hAnsi="Times New Roman" w:cs="Times New Roman"/>
        </w:rPr>
        <w:t>used most commonly by</w:t>
      </w:r>
      <w:r w:rsidR="002925AE" w:rsidRPr="002925AE">
        <w:rPr>
          <w:rFonts w:hAnsi="Times New Roman" w:cs="Times New Roman"/>
        </w:rPr>
        <w:t xml:space="preserve"> </w:t>
      </w:r>
      <w:r w:rsidR="00A72765">
        <w:rPr>
          <w:rFonts w:hAnsi="Times New Roman" w:cs="Times New Roman"/>
        </w:rPr>
        <w:t xml:space="preserve">the </w:t>
      </w:r>
      <w:r w:rsidR="002925AE" w:rsidRPr="002925AE">
        <w:rPr>
          <w:rFonts w:hAnsi="Times New Roman" w:cs="Times New Roman"/>
        </w:rPr>
        <w:t>contributions was the sacred-secular divide (</w:t>
      </w:r>
      <w:r w:rsidR="002C6554">
        <w:rPr>
          <w:rFonts w:hAnsi="Times New Roman" w:cs="Times New Roman"/>
        </w:rPr>
        <w:t>22</w:t>
      </w:r>
      <w:r w:rsidR="002925AE" w:rsidRPr="002925AE">
        <w:rPr>
          <w:rFonts w:hAnsi="Times New Roman" w:cs="Times New Roman"/>
        </w:rPr>
        <w:t xml:space="preserve"> or 2</w:t>
      </w:r>
      <w:r w:rsidR="002C6554">
        <w:rPr>
          <w:rFonts w:hAnsi="Times New Roman" w:cs="Times New Roman"/>
        </w:rPr>
        <w:t>4</w:t>
      </w:r>
      <w:r w:rsidR="002925AE" w:rsidRPr="002925AE">
        <w:rPr>
          <w:rFonts w:hAnsi="Times New Roman" w:cs="Times New Roman"/>
        </w:rPr>
        <w:t xml:space="preserve"> per cent), followed by accountability (1</w:t>
      </w:r>
      <w:r w:rsidR="002C6554">
        <w:rPr>
          <w:rFonts w:hAnsi="Times New Roman" w:cs="Times New Roman"/>
        </w:rPr>
        <w:t>4</w:t>
      </w:r>
      <w:r w:rsidR="002925AE" w:rsidRPr="002925AE">
        <w:rPr>
          <w:rFonts w:hAnsi="Times New Roman" w:cs="Times New Roman"/>
        </w:rPr>
        <w:t xml:space="preserve"> or 1</w:t>
      </w:r>
      <w:r w:rsidR="002C6554">
        <w:rPr>
          <w:rFonts w:hAnsi="Times New Roman" w:cs="Times New Roman"/>
        </w:rPr>
        <w:t>6</w:t>
      </w:r>
      <w:r w:rsidR="002925AE" w:rsidRPr="002925AE">
        <w:rPr>
          <w:rFonts w:hAnsi="Times New Roman" w:cs="Times New Roman"/>
        </w:rPr>
        <w:t xml:space="preserve"> per cent)</w:t>
      </w:r>
      <w:r w:rsidR="000A15E4">
        <w:rPr>
          <w:rFonts w:hAnsi="Times New Roman" w:cs="Times New Roman"/>
        </w:rPr>
        <w:t>,</w:t>
      </w:r>
      <w:r w:rsidR="002925AE" w:rsidRPr="002925AE">
        <w:rPr>
          <w:rFonts w:hAnsi="Times New Roman" w:cs="Times New Roman"/>
        </w:rPr>
        <w:t xml:space="preserve"> and these are discussed in section four. In section five, contributions on financing the religious effort are analysed, with the following section considering accounting, religion and the individual. </w:t>
      </w:r>
      <w:r w:rsidR="00C2407F">
        <w:rPr>
          <w:rFonts w:hAnsi="Times New Roman" w:cs="Times New Roman"/>
        </w:rPr>
        <w:t xml:space="preserve">The </w:t>
      </w:r>
      <w:r w:rsidR="000A15E4">
        <w:rPr>
          <w:rFonts w:hAnsi="Times New Roman" w:cs="Times New Roman"/>
        </w:rPr>
        <w:t>penultimate</w:t>
      </w:r>
      <w:r w:rsidR="00C2407F">
        <w:rPr>
          <w:rFonts w:hAnsi="Times New Roman" w:cs="Times New Roman"/>
        </w:rPr>
        <w:t xml:space="preserve"> s</w:t>
      </w:r>
      <w:r w:rsidR="002925AE" w:rsidRPr="002925AE">
        <w:rPr>
          <w:rFonts w:hAnsi="Times New Roman" w:cs="Times New Roman"/>
        </w:rPr>
        <w:t xml:space="preserve">ection </w:t>
      </w:r>
      <w:r w:rsidR="00A72765">
        <w:rPr>
          <w:rFonts w:hAnsi="Times New Roman" w:cs="Times New Roman"/>
        </w:rPr>
        <w:t xml:space="preserve">continues the micro-macro analyses, </w:t>
      </w:r>
      <w:r w:rsidR="002925AE" w:rsidRPr="002925AE">
        <w:rPr>
          <w:rFonts w:hAnsi="Times New Roman" w:cs="Times New Roman"/>
        </w:rPr>
        <w:t>highlights research gaps and proposes a future research agenda</w:t>
      </w:r>
      <w:r w:rsidR="003B4D39" w:rsidRPr="003B4D39">
        <w:rPr>
          <w:rFonts w:hAnsi="Times New Roman" w:cs="Times New Roman"/>
        </w:rPr>
        <w:t xml:space="preserve"> </w:t>
      </w:r>
      <w:r w:rsidR="003B4D39">
        <w:rPr>
          <w:rFonts w:hAnsi="Times New Roman" w:cs="Times New Roman"/>
        </w:rPr>
        <w:t>for those</w:t>
      </w:r>
      <w:r w:rsidR="003B4D39" w:rsidRPr="002925AE">
        <w:rPr>
          <w:rFonts w:hAnsi="Times New Roman" w:cs="Times New Roman"/>
        </w:rPr>
        <w:t xml:space="preserve"> topics that remain relatively unexplored</w:t>
      </w:r>
      <w:r w:rsidR="003B4D39">
        <w:rPr>
          <w:rFonts w:hAnsi="Times New Roman" w:cs="Times New Roman"/>
        </w:rPr>
        <w:t>,</w:t>
      </w:r>
      <w:r w:rsidR="002925AE" w:rsidRPr="002925AE">
        <w:rPr>
          <w:rFonts w:hAnsi="Times New Roman" w:cs="Times New Roman"/>
        </w:rPr>
        <w:t xml:space="preserve"> before the paper concludes.</w:t>
      </w:r>
    </w:p>
    <w:p w:rsidR="00366B6D" w:rsidRPr="002925AE" w:rsidRDefault="000D1A57" w:rsidP="007D3040">
      <w:pPr>
        <w:spacing w:after="120" w:line="360" w:lineRule="auto"/>
        <w:rPr>
          <w:rFonts w:hAnsi="Times New Roman" w:cs="Times New Roman"/>
          <w:lang w:val="en-NZ"/>
        </w:rPr>
      </w:pPr>
      <w:r w:rsidRPr="002925AE">
        <w:rPr>
          <w:rFonts w:hAnsi="Times New Roman" w:cs="Times New Roman"/>
          <w:lang w:val="en-NZ"/>
        </w:rPr>
        <w:t xml:space="preserve"> </w:t>
      </w:r>
    </w:p>
    <w:p w:rsidR="00366B6D" w:rsidRPr="007D3040" w:rsidRDefault="000D1A57" w:rsidP="007D3040">
      <w:pPr>
        <w:spacing w:after="120" w:line="360" w:lineRule="auto"/>
        <w:rPr>
          <w:b/>
          <w:bCs/>
          <w:lang w:val="en-NZ"/>
        </w:rPr>
      </w:pPr>
      <w:r w:rsidRPr="007D3040">
        <w:rPr>
          <w:b/>
          <w:bCs/>
          <w:lang w:val="en-NZ"/>
        </w:rPr>
        <w:t>2. Method</w:t>
      </w:r>
    </w:p>
    <w:p w:rsidR="00A72765" w:rsidRDefault="000D1A57" w:rsidP="007D3040">
      <w:pPr>
        <w:spacing w:after="120" w:line="360" w:lineRule="auto"/>
        <w:rPr>
          <w:rFonts w:hAnsi="Times New Roman" w:cs="Times New Roman"/>
          <w:lang w:val="en-NZ"/>
        </w:rPr>
      </w:pPr>
      <w:r w:rsidRPr="002925AE">
        <w:rPr>
          <w:rFonts w:hAnsi="Times New Roman" w:cs="Times New Roman"/>
          <w:lang w:val="en-NZ"/>
        </w:rPr>
        <w:t xml:space="preserve">A majority of the research in accounting history and religion has been published in a small number of journals – </w:t>
      </w:r>
      <w:r w:rsidRPr="002925AE">
        <w:rPr>
          <w:rFonts w:hAnsi="Times New Roman" w:cs="Times New Roman"/>
          <w:i/>
          <w:iCs/>
          <w:lang w:val="en-NZ"/>
        </w:rPr>
        <w:t xml:space="preserve">Accounting History (AH), </w:t>
      </w:r>
      <w:r w:rsidR="002C6554" w:rsidRPr="002925AE">
        <w:rPr>
          <w:rFonts w:hAnsi="Times New Roman" w:cs="Times New Roman"/>
          <w:i/>
          <w:iCs/>
          <w:lang w:val="en-NZ"/>
        </w:rPr>
        <w:t>Accounting Historians Journal (AHJ)</w:t>
      </w:r>
      <w:r w:rsidR="002C6554" w:rsidRPr="002925AE">
        <w:rPr>
          <w:rFonts w:hAnsi="Times New Roman" w:cs="Times New Roman"/>
          <w:lang w:val="en-NZ"/>
        </w:rPr>
        <w:t xml:space="preserve">, </w:t>
      </w:r>
      <w:r w:rsidRPr="002925AE">
        <w:rPr>
          <w:rFonts w:hAnsi="Times New Roman" w:cs="Times New Roman"/>
          <w:i/>
          <w:iCs/>
          <w:lang w:val="en-NZ"/>
        </w:rPr>
        <w:t>Accounting, Auditing &amp; Accountability Journal (AAAJ</w:t>
      </w:r>
      <w:r w:rsidR="002C6554">
        <w:rPr>
          <w:rFonts w:hAnsi="Times New Roman" w:cs="Times New Roman"/>
          <w:i/>
          <w:iCs/>
          <w:lang w:val="en-NZ"/>
        </w:rPr>
        <w:t xml:space="preserve">), </w:t>
      </w:r>
      <w:r w:rsidRPr="002925AE">
        <w:rPr>
          <w:rFonts w:hAnsi="Times New Roman" w:cs="Times New Roman"/>
          <w:i/>
          <w:iCs/>
          <w:lang w:val="en-NZ"/>
        </w:rPr>
        <w:t xml:space="preserve">Accounting History </w:t>
      </w:r>
      <w:r w:rsidRPr="00C1393A">
        <w:rPr>
          <w:rFonts w:hAnsi="Times New Roman" w:cs="Times New Roman"/>
          <w:i/>
          <w:iCs/>
          <w:lang w:val="en-NZ"/>
        </w:rPr>
        <w:lastRenderedPageBreak/>
        <w:t>Review</w:t>
      </w:r>
      <w:r w:rsidRPr="00C1393A">
        <w:rPr>
          <w:rFonts w:hAnsi="Times New Roman" w:cs="Times New Roman"/>
          <w:i/>
          <w:lang w:val="en-NZ"/>
        </w:rPr>
        <w:t xml:space="preserve"> (AHR)</w:t>
      </w:r>
      <w:r w:rsidRPr="002925AE">
        <w:rPr>
          <w:rFonts w:hAnsi="Times New Roman" w:cs="Times New Roman"/>
          <w:lang w:val="en-NZ"/>
        </w:rPr>
        <w:t>,</w:t>
      </w:r>
      <w:r w:rsidRPr="002925AE">
        <w:rPr>
          <w:rFonts w:hAnsi="Times New Roman" w:cs="Times New Roman"/>
          <w:vertAlign w:val="superscript"/>
          <w:lang w:val="en-NZ"/>
        </w:rPr>
        <w:endnoteReference w:id="3"/>
      </w:r>
      <w:r w:rsidRPr="002925AE">
        <w:rPr>
          <w:rFonts w:hAnsi="Times New Roman" w:cs="Times New Roman"/>
          <w:lang w:val="en-NZ"/>
        </w:rPr>
        <w:t xml:space="preserve">  </w:t>
      </w:r>
      <w:r w:rsidRPr="002925AE">
        <w:rPr>
          <w:rFonts w:hAnsi="Times New Roman" w:cs="Times New Roman"/>
          <w:i/>
          <w:iCs/>
          <w:lang w:val="en-NZ"/>
        </w:rPr>
        <w:t xml:space="preserve">Accounting, Organizations and </w:t>
      </w:r>
      <w:r w:rsidRPr="00C1393A">
        <w:rPr>
          <w:rFonts w:hAnsi="Times New Roman" w:cs="Times New Roman"/>
          <w:i/>
          <w:iCs/>
          <w:lang w:val="en-NZ"/>
        </w:rPr>
        <w:t>Society</w:t>
      </w:r>
      <w:r w:rsidRPr="00C1393A">
        <w:rPr>
          <w:rFonts w:hAnsi="Times New Roman" w:cs="Times New Roman"/>
          <w:i/>
          <w:lang w:val="en-NZ"/>
        </w:rPr>
        <w:t xml:space="preserve"> (AOS),</w:t>
      </w:r>
      <w:r w:rsidRPr="002925AE">
        <w:rPr>
          <w:rFonts w:hAnsi="Times New Roman" w:cs="Times New Roman"/>
          <w:lang w:val="en-NZ"/>
        </w:rPr>
        <w:t xml:space="preserve"> and </w:t>
      </w:r>
      <w:r w:rsidRPr="002925AE">
        <w:rPr>
          <w:rFonts w:hAnsi="Times New Roman" w:cs="Times New Roman"/>
          <w:i/>
          <w:iCs/>
          <w:lang w:val="en-NZ"/>
        </w:rPr>
        <w:t xml:space="preserve">Financial Accountability and Management (FAM) </w:t>
      </w:r>
      <w:r w:rsidRPr="002925AE">
        <w:rPr>
          <w:rFonts w:hAnsi="Times New Roman" w:cs="Times New Roman"/>
          <w:lang w:val="en-NZ"/>
        </w:rPr>
        <w:t xml:space="preserve">(see Table 1). Accordingly, a two-phase search was undertaken for relevant contributions to inform this literature review: first through a general search and then a specific journal search. </w:t>
      </w:r>
      <w:r w:rsidR="007D3040" w:rsidRPr="002925AE">
        <w:rPr>
          <w:rFonts w:hAnsi="Times New Roman" w:cs="Times New Roman"/>
          <w:lang w:val="en-NZ"/>
        </w:rPr>
        <w:t>Four</w:t>
      </w:r>
      <w:r w:rsidRPr="002925AE">
        <w:rPr>
          <w:rFonts w:hAnsi="Times New Roman" w:cs="Times New Roman"/>
          <w:lang w:val="en-NZ"/>
        </w:rPr>
        <w:t xml:space="preserve"> databases (Proquest, Google Scholar</w:t>
      </w:r>
      <w:r w:rsidR="007D3040" w:rsidRPr="002925AE">
        <w:rPr>
          <w:rFonts w:hAnsi="Times New Roman" w:cs="Times New Roman"/>
          <w:lang w:val="en-NZ"/>
        </w:rPr>
        <w:t>,</w:t>
      </w:r>
      <w:r w:rsidRPr="002925AE">
        <w:rPr>
          <w:rFonts w:hAnsi="Times New Roman" w:cs="Times New Roman"/>
          <w:lang w:val="en-NZ"/>
        </w:rPr>
        <w:t xml:space="preserve"> Sage Premier</w:t>
      </w:r>
      <w:r w:rsidR="007D3040" w:rsidRPr="002925AE">
        <w:rPr>
          <w:rFonts w:hAnsi="Times New Roman" w:cs="Times New Roman"/>
          <w:lang w:val="en-NZ"/>
        </w:rPr>
        <w:t xml:space="preserve"> and EBSCOhost Historical Abstracts</w:t>
      </w:r>
      <w:r w:rsidRPr="002925AE">
        <w:rPr>
          <w:rFonts w:hAnsi="Times New Roman" w:cs="Times New Roman"/>
          <w:lang w:val="en-NZ"/>
        </w:rPr>
        <w:t>) were searched for books, articles and disse</w:t>
      </w:r>
      <w:r w:rsidR="007D3040" w:rsidRPr="002925AE">
        <w:rPr>
          <w:rFonts w:hAnsi="Times New Roman" w:cs="Times New Roman"/>
          <w:lang w:val="en-NZ"/>
        </w:rPr>
        <w:t xml:space="preserve">rtations containing the primary </w:t>
      </w:r>
      <w:r w:rsidRPr="002925AE">
        <w:rPr>
          <w:rFonts w:hAnsi="Times New Roman" w:cs="Times New Roman"/>
          <w:lang w:val="en-NZ"/>
        </w:rPr>
        <w:t xml:space="preserve">term “accounting history” and one or more of </w:t>
      </w:r>
      <w:r w:rsidR="00C92D9F">
        <w:rPr>
          <w:rFonts w:hAnsi="Times New Roman" w:cs="Times New Roman"/>
          <w:lang w:val="en-NZ"/>
        </w:rPr>
        <w:t xml:space="preserve">the </w:t>
      </w:r>
      <w:r w:rsidRPr="002925AE">
        <w:rPr>
          <w:rFonts w:hAnsi="Times New Roman" w:cs="Times New Roman"/>
          <w:lang w:val="en-NZ"/>
        </w:rPr>
        <w:t>secondary terms: “religion”, “temple”</w:t>
      </w:r>
      <w:r w:rsidR="007D3040" w:rsidRPr="002925AE">
        <w:rPr>
          <w:rFonts w:hAnsi="Times New Roman" w:cs="Times New Roman"/>
          <w:lang w:val="en-NZ"/>
        </w:rPr>
        <w:t>, “</w:t>
      </w:r>
      <w:r w:rsidRPr="002925AE">
        <w:rPr>
          <w:rFonts w:hAnsi="Times New Roman" w:cs="Times New Roman"/>
          <w:lang w:val="en-NZ"/>
        </w:rPr>
        <w:t>monastery”, “spiritual”</w:t>
      </w:r>
      <w:r w:rsidR="002C6554">
        <w:rPr>
          <w:rFonts w:hAnsi="Times New Roman" w:cs="Times New Roman"/>
          <w:lang w:val="en-NZ"/>
        </w:rPr>
        <w:t>, “Christian”, “Buddhism”, “Islam”, “Jewish/Judaism”, “Muslim”</w:t>
      </w:r>
      <w:r w:rsidRPr="002925AE">
        <w:rPr>
          <w:rFonts w:hAnsi="Times New Roman" w:cs="Times New Roman"/>
          <w:lang w:val="en-NZ"/>
        </w:rPr>
        <w:t xml:space="preserve">. (The term religion is used in the sense that it is </w:t>
      </w:r>
      <w:r w:rsidRPr="002925AE">
        <w:rPr>
          <w:rFonts w:hAnsi="Times New Roman" w:cs="Times New Roman"/>
          <w:shd w:val="clear" w:color="auto" w:fill="FFFFFF"/>
          <w:lang w:val="en-NZ"/>
        </w:rPr>
        <w:t xml:space="preserve">belief in, or the worship of, a god or gods.) </w:t>
      </w:r>
      <w:r w:rsidR="002522DB">
        <w:rPr>
          <w:rFonts w:hAnsi="Times New Roman" w:cs="Times New Roman"/>
          <w:lang w:val="en-NZ"/>
        </w:rPr>
        <w:t>Second</w:t>
      </w:r>
      <w:r w:rsidR="00C92D9F">
        <w:rPr>
          <w:rFonts w:hAnsi="Times New Roman" w:cs="Times New Roman"/>
          <w:lang w:val="en-NZ"/>
        </w:rPr>
        <w:t>, the j</w:t>
      </w:r>
      <w:r w:rsidRPr="002925AE">
        <w:rPr>
          <w:rFonts w:hAnsi="Times New Roman" w:cs="Times New Roman"/>
          <w:lang w:val="en-NZ"/>
        </w:rPr>
        <w:t xml:space="preserve">ournals listed above were also searched individually for articles containing the secondary terms. The abstract of each contribution was analysed to ascertain </w:t>
      </w:r>
      <w:r w:rsidR="00C92D9F">
        <w:rPr>
          <w:rFonts w:hAnsi="Times New Roman" w:cs="Times New Roman"/>
          <w:lang w:val="en-NZ"/>
        </w:rPr>
        <w:t>its</w:t>
      </w:r>
      <w:r w:rsidRPr="002925AE">
        <w:rPr>
          <w:rFonts w:hAnsi="Times New Roman" w:cs="Times New Roman"/>
          <w:lang w:val="en-NZ"/>
        </w:rPr>
        <w:t xml:space="preserve"> pertinence, with suitable contributions being further analysed. Contributions were included if they described or analysed</w:t>
      </w:r>
      <w:r w:rsidR="00C92D9F">
        <w:rPr>
          <w:rFonts w:hAnsi="Times New Roman" w:cs="Times New Roman"/>
          <w:lang w:val="en-NZ"/>
        </w:rPr>
        <w:t>:</w:t>
      </w:r>
      <w:r w:rsidRPr="002925AE">
        <w:rPr>
          <w:rFonts w:hAnsi="Times New Roman" w:cs="Times New Roman"/>
          <w:lang w:val="en-NZ"/>
        </w:rPr>
        <w:t xml:space="preserve"> a religious institution</w:t>
      </w:r>
      <w:r w:rsidR="00C92D9F">
        <w:rPr>
          <w:rFonts w:hAnsi="Times New Roman" w:cs="Times New Roman"/>
          <w:lang w:val="en-NZ"/>
        </w:rPr>
        <w:t>;</w:t>
      </w:r>
      <w:r w:rsidRPr="002925AE">
        <w:rPr>
          <w:rFonts w:hAnsi="Times New Roman" w:cs="Times New Roman"/>
          <w:lang w:val="en-NZ"/>
        </w:rPr>
        <w:t xml:space="preserve"> religious practices in which accounting was central; accounting in sacred texts, or the life/work of a religious leader or theologian</w:t>
      </w:r>
      <w:r w:rsidR="00A72765">
        <w:rPr>
          <w:rFonts w:hAnsi="Times New Roman" w:cs="Times New Roman"/>
          <w:lang w:val="en-NZ"/>
        </w:rPr>
        <w:t xml:space="preserve"> and its impact or possible impact on accounting</w:t>
      </w:r>
      <w:r w:rsidRPr="002925AE">
        <w:rPr>
          <w:rFonts w:hAnsi="Times New Roman" w:cs="Times New Roman"/>
          <w:lang w:val="en-NZ"/>
        </w:rPr>
        <w:t>. Case studies of charities or non-religious states, for example, or where the contribution possessed only a passing reference to one of</w:t>
      </w:r>
      <w:r w:rsidR="00B7040E">
        <w:rPr>
          <w:rFonts w:hAnsi="Times New Roman" w:cs="Times New Roman"/>
          <w:lang w:val="en-NZ"/>
        </w:rPr>
        <w:t xml:space="preserve"> the key terms, were rejected. </w:t>
      </w:r>
    </w:p>
    <w:p w:rsidR="00A72765" w:rsidRDefault="000D1A57" w:rsidP="00A72765">
      <w:pPr>
        <w:spacing w:after="120" w:line="360" w:lineRule="auto"/>
        <w:ind w:firstLine="720"/>
        <w:rPr>
          <w:rFonts w:hAnsi="Times New Roman" w:cs="Times New Roman"/>
          <w:lang w:val="en-NZ"/>
        </w:rPr>
      </w:pPr>
      <w:r w:rsidRPr="002925AE">
        <w:rPr>
          <w:rFonts w:hAnsi="Times New Roman" w:cs="Times New Roman"/>
          <w:lang w:val="en-NZ"/>
        </w:rPr>
        <w:t>The focus was on publications in the last three decades. Similarly to Carmona and Ezzamel (2009: 504), this analysis also drew on ‘histories of the present’ or the more contemporary age as they are “likely to produce many useful insights for those intending to conduct historical research on accounting and religion”</w:t>
      </w:r>
      <w:r w:rsidR="00C92D9F">
        <w:rPr>
          <w:rFonts w:hAnsi="Times New Roman" w:cs="Times New Roman"/>
          <w:lang w:val="en-NZ"/>
        </w:rPr>
        <w:t>. For this reason</w:t>
      </w:r>
      <w:r w:rsidR="00A72765">
        <w:rPr>
          <w:rFonts w:hAnsi="Times New Roman" w:cs="Times New Roman"/>
          <w:lang w:val="en-NZ"/>
        </w:rPr>
        <w:t>,</w:t>
      </w:r>
      <w:r w:rsidR="002C6554">
        <w:rPr>
          <w:rFonts w:hAnsi="Times New Roman" w:cs="Times New Roman"/>
          <w:lang w:val="en-NZ"/>
        </w:rPr>
        <w:t xml:space="preserve"> publications using data collected prior to 2000 are included in the tables. In addition, the paper notes relevant </w:t>
      </w:r>
      <w:r w:rsidR="00C661C6">
        <w:rPr>
          <w:rFonts w:hAnsi="Times New Roman" w:cs="Times New Roman"/>
          <w:lang w:val="en-NZ"/>
        </w:rPr>
        <w:t xml:space="preserve">studies using case study data collected </w:t>
      </w:r>
      <w:r w:rsidR="002C6554">
        <w:rPr>
          <w:rFonts w:hAnsi="Times New Roman" w:cs="Times New Roman"/>
          <w:lang w:val="en-NZ"/>
        </w:rPr>
        <w:t>post-2000</w:t>
      </w:r>
      <w:r w:rsidRPr="002925AE">
        <w:rPr>
          <w:rFonts w:hAnsi="Times New Roman" w:cs="Times New Roman"/>
          <w:lang w:val="en-NZ"/>
        </w:rPr>
        <w:t xml:space="preserve">. Contemporary research shows the relevance of historical studies, provides a broader perspective of research gaps, and also invites re-interpretation of data in light of emerging theories and trends in research. </w:t>
      </w:r>
      <w:r w:rsidR="002C6554">
        <w:rPr>
          <w:rFonts w:hAnsi="Times New Roman" w:cs="Times New Roman"/>
          <w:lang w:val="en-NZ"/>
        </w:rPr>
        <w:t>Furthermore</w:t>
      </w:r>
      <w:r w:rsidRPr="002925AE">
        <w:rPr>
          <w:rFonts w:hAnsi="Times New Roman" w:cs="Times New Roman"/>
          <w:lang w:val="en-NZ"/>
        </w:rPr>
        <w:t xml:space="preserve">, contemporary studies may provide a basis for comparative studies, especially to observe the maturation of accounting and accountability. </w:t>
      </w:r>
    </w:p>
    <w:p w:rsidR="00366B6D" w:rsidRPr="002925AE" w:rsidRDefault="000D1A57" w:rsidP="00A72765">
      <w:pPr>
        <w:spacing w:after="120" w:line="360" w:lineRule="auto"/>
        <w:ind w:firstLine="720"/>
        <w:rPr>
          <w:rFonts w:hAnsi="Times New Roman" w:cs="Times New Roman"/>
          <w:lang w:val="en-NZ"/>
        </w:rPr>
      </w:pPr>
      <w:r w:rsidRPr="002925AE">
        <w:rPr>
          <w:rFonts w:hAnsi="Times New Roman" w:cs="Times New Roman"/>
          <w:lang w:val="en-NZ"/>
        </w:rPr>
        <w:t xml:space="preserve">Following the compilation of relevant contributions and any other references located, these were analysed against a schema as to the research source, the time period researched, theoretical framework used (where </w:t>
      </w:r>
      <w:r w:rsidR="000A15E4">
        <w:rPr>
          <w:rFonts w:hAnsi="Times New Roman" w:cs="Times New Roman"/>
          <w:lang w:val="en-NZ"/>
        </w:rPr>
        <w:t>explicit</w:t>
      </w:r>
      <w:r w:rsidRPr="002925AE">
        <w:rPr>
          <w:rFonts w:hAnsi="Times New Roman" w:cs="Times New Roman"/>
          <w:lang w:val="en-NZ"/>
        </w:rPr>
        <w:t xml:space="preserve">) and themes that were covered. </w:t>
      </w:r>
      <w:r w:rsidR="00A72765">
        <w:rPr>
          <w:rFonts w:hAnsi="Times New Roman" w:cs="Times New Roman"/>
          <w:lang w:val="en-NZ"/>
        </w:rPr>
        <w:t xml:space="preserve">In addition, a theoretical critique of contributions yielded those with a micro-perspective which sought to understand accounting and accountability practices in </w:t>
      </w:r>
      <w:r w:rsidR="00A72765">
        <w:rPr>
          <w:rFonts w:hAnsi="Times New Roman" w:cs="Times New Roman"/>
          <w:lang w:val="en-NZ"/>
        </w:rPr>
        <w:lastRenderedPageBreak/>
        <w:t xml:space="preserve">organisational or personal contexts. These were further divided into those that were informed </w:t>
      </w:r>
      <w:r w:rsidR="000A15E4">
        <w:rPr>
          <w:rFonts w:hAnsi="Times New Roman" w:cs="Times New Roman"/>
          <w:lang w:val="en-NZ"/>
        </w:rPr>
        <w:t xml:space="preserve">implicitly </w:t>
      </w:r>
      <w:r w:rsidR="00A72765">
        <w:rPr>
          <w:rFonts w:hAnsi="Times New Roman" w:cs="Times New Roman"/>
          <w:lang w:val="en-NZ"/>
        </w:rPr>
        <w:t xml:space="preserve">by economic </w:t>
      </w:r>
      <w:r w:rsidR="00C74E55">
        <w:rPr>
          <w:rFonts w:hAnsi="Times New Roman" w:cs="Times New Roman"/>
          <w:lang w:val="en-NZ"/>
        </w:rPr>
        <w:t xml:space="preserve">rationale </w:t>
      </w:r>
      <w:r w:rsidR="00A72765">
        <w:rPr>
          <w:rFonts w:hAnsi="Times New Roman" w:cs="Times New Roman"/>
          <w:lang w:val="en-NZ"/>
        </w:rPr>
        <w:t xml:space="preserve">(accounting theory) and those that combined narrative with other theories. Macro-perspective studies were those analysing how the practices/beliefs have influenced (or could influence) </w:t>
      </w:r>
      <w:r w:rsidR="00D35B49">
        <w:rPr>
          <w:rFonts w:hAnsi="Times New Roman" w:cs="Times New Roman"/>
          <w:lang w:val="en-NZ"/>
        </w:rPr>
        <w:t>accounting</w:t>
      </w:r>
      <w:r w:rsidR="00A72765">
        <w:rPr>
          <w:rFonts w:hAnsi="Times New Roman" w:cs="Times New Roman"/>
          <w:lang w:val="en-NZ"/>
        </w:rPr>
        <w:t xml:space="preserve"> practise and</w:t>
      </w:r>
      <w:r w:rsidR="00D35B49">
        <w:rPr>
          <w:rFonts w:hAnsi="Times New Roman" w:cs="Times New Roman"/>
          <w:lang w:val="en-NZ"/>
        </w:rPr>
        <w:t>/or theory</w:t>
      </w:r>
      <w:r w:rsidR="00A72765">
        <w:rPr>
          <w:rFonts w:hAnsi="Times New Roman" w:cs="Times New Roman"/>
          <w:lang w:val="en-NZ"/>
        </w:rPr>
        <w:t>. Th</w:t>
      </w:r>
      <w:r w:rsidR="00C74E55">
        <w:rPr>
          <w:rFonts w:hAnsi="Times New Roman" w:cs="Times New Roman"/>
          <w:lang w:val="en-NZ"/>
        </w:rPr>
        <w:t>e results of this analysis and the</w:t>
      </w:r>
      <w:r w:rsidR="00A72765">
        <w:rPr>
          <w:rFonts w:hAnsi="Times New Roman" w:cs="Times New Roman"/>
          <w:lang w:val="en-NZ"/>
        </w:rPr>
        <w:t xml:space="preserve"> </w:t>
      </w:r>
      <w:r w:rsidR="000A15E4">
        <w:rPr>
          <w:rFonts w:hAnsi="Times New Roman" w:cs="Times New Roman"/>
          <w:lang w:val="en-NZ"/>
        </w:rPr>
        <w:t xml:space="preserve">framework </w:t>
      </w:r>
      <w:r w:rsidR="00C74E55">
        <w:rPr>
          <w:rFonts w:hAnsi="Times New Roman" w:cs="Times New Roman"/>
          <w:lang w:val="en-NZ"/>
        </w:rPr>
        <w:t>are</w:t>
      </w:r>
      <w:r w:rsidR="00A72765">
        <w:rPr>
          <w:rFonts w:hAnsi="Times New Roman" w:cs="Times New Roman"/>
          <w:lang w:val="en-NZ"/>
        </w:rPr>
        <w:t xml:space="preserve"> expounded on in </w:t>
      </w:r>
      <w:r w:rsidR="00C2407F">
        <w:rPr>
          <w:rFonts w:hAnsi="Times New Roman" w:cs="Times New Roman"/>
          <w:lang w:val="en-NZ"/>
        </w:rPr>
        <w:t>the final section</w:t>
      </w:r>
      <w:r w:rsidR="00A72765">
        <w:rPr>
          <w:rFonts w:hAnsi="Times New Roman" w:cs="Times New Roman"/>
          <w:lang w:val="en-NZ"/>
        </w:rPr>
        <w:t>.</w:t>
      </w:r>
    </w:p>
    <w:p w:rsidR="00C2407F" w:rsidRDefault="00C2407F" w:rsidP="007D3040">
      <w:pPr>
        <w:spacing w:after="120" w:line="360" w:lineRule="auto"/>
        <w:rPr>
          <w:b/>
          <w:bCs/>
          <w:lang w:val="en-NZ"/>
        </w:rPr>
      </w:pPr>
    </w:p>
    <w:p w:rsidR="00366B6D" w:rsidRPr="007D3040" w:rsidRDefault="000D1A57" w:rsidP="007D3040">
      <w:pPr>
        <w:spacing w:after="120" w:line="360" w:lineRule="auto"/>
        <w:rPr>
          <w:b/>
          <w:bCs/>
          <w:lang w:val="en-NZ"/>
        </w:rPr>
      </w:pPr>
      <w:r w:rsidRPr="007D3040">
        <w:rPr>
          <w:b/>
          <w:bCs/>
          <w:lang w:val="en-NZ"/>
        </w:rPr>
        <w:t>3. Categorisations and the search for antecedents/early accounting</w:t>
      </w:r>
    </w:p>
    <w:p w:rsidR="00366B6D" w:rsidRPr="002925AE" w:rsidRDefault="000D1A57" w:rsidP="007D3040">
      <w:pPr>
        <w:spacing w:after="120" w:line="360" w:lineRule="auto"/>
        <w:rPr>
          <w:rFonts w:hAnsi="Times New Roman" w:cs="Times New Roman"/>
          <w:lang w:val="en-NZ"/>
        </w:rPr>
      </w:pPr>
      <w:r w:rsidRPr="002925AE">
        <w:rPr>
          <w:rFonts w:hAnsi="Times New Roman" w:cs="Times New Roman"/>
          <w:lang w:val="en-NZ"/>
        </w:rPr>
        <w:t>The categorisation of studies is shown in Table 1 and also graphically by year of publication in Appendix One</w:t>
      </w:r>
      <w:r w:rsidR="00F36201">
        <w:rPr>
          <w:rFonts w:hAnsi="Times New Roman" w:cs="Times New Roman"/>
          <w:lang w:val="en-NZ"/>
        </w:rPr>
        <w:t>,</w:t>
      </w:r>
      <w:r w:rsidRPr="002925AE">
        <w:rPr>
          <w:rFonts w:hAnsi="Times New Roman" w:cs="Times New Roman"/>
          <w:lang w:val="en-NZ"/>
        </w:rPr>
        <w:t xml:space="preserve"> and by publication source in Appendix Two. </w:t>
      </w:r>
      <w:r w:rsidR="00472E1C">
        <w:rPr>
          <w:rFonts w:hAnsi="Times New Roman" w:cs="Times New Roman"/>
          <w:lang w:val="en-NZ"/>
        </w:rPr>
        <w:t xml:space="preserve">Contributions were analysed by Journal (those listed above) and “other” </w:t>
      </w:r>
      <w:r w:rsidR="004360B7">
        <w:rPr>
          <w:rFonts w:hAnsi="Times New Roman" w:cs="Times New Roman"/>
          <w:lang w:val="en-NZ"/>
        </w:rPr>
        <w:t xml:space="preserve">was used for </w:t>
      </w:r>
      <w:r w:rsidR="00472E1C">
        <w:rPr>
          <w:rFonts w:hAnsi="Times New Roman" w:cs="Times New Roman"/>
          <w:lang w:val="en-NZ"/>
        </w:rPr>
        <w:t xml:space="preserve">sources with fewer than five contributions. Further, each </w:t>
      </w:r>
      <w:r w:rsidR="002522DB">
        <w:rPr>
          <w:rFonts w:hAnsi="Times New Roman" w:cs="Times New Roman"/>
          <w:lang w:val="en-NZ"/>
        </w:rPr>
        <w:t>contribution</w:t>
      </w:r>
      <w:r w:rsidR="00472E1C">
        <w:rPr>
          <w:rFonts w:hAnsi="Times New Roman" w:cs="Times New Roman"/>
          <w:lang w:val="en-NZ"/>
        </w:rPr>
        <w:t xml:space="preserve"> </w:t>
      </w:r>
      <w:r w:rsidR="002522DB">
        <w:rPr>
          <w:rFonts w:hAnsi="Times New Roman" w:cs="Times New Roman"/>
          <w:lang w:val="en-NZ"/>
        </w:rPr>
        <w:t>was categorised by the type: those that are based on a case study (or studies), are an analysis of a theoretical concept, and those that review other studies in this area. As shown in Table 1, t</w:t>
      </w:r>
      <w:r w:rsidRPr="002925AE">
        <w:rPr>
          <w:rFonts w:hAnsi="Times New Roman" w:cs="Times New Roman"/>
          <w:lang w:val="en-NZ"/>
        </w:rPr>
        <w:t>here is a predominance of case studies (</w:t>
      </w:r>
      <w:r w:rsidR="0070092E">
        <w:rPr>
          <w:rFonts w:hAnsi="Times New Roman" w:cs="Times New Roman"/>
          <w:lang w:val="en-NZ"/>
        </w:rPr>
        <w:t>6</w:t>
      </w:r>
      <w:r w:rsidR="00D83C99">
        <w:rPr>
          <w:rFonts w:hAnsi="Times New Roman" w:cs="Times New Roman"/>
          <w:lang w:val="en-NZ"/>
        </w:rPr>
        <w:t>4</w:t>
      </w:r>
      <w:r w:rsidR="002C6554">
        <w:rPr>
          <w:rFonts w:hAnsi="Times New Roman" w:cs="Times New Roman"/>
          <w:lang w:val="en-NZ"/>
        </w:rPr>
        <w:t>/</w:t>
      </w:r>
      <w:r w:rsidR="0070092E">
        <w:rPr>
          <w:rFonts w:hAnsi="Times New Roman" w:cs="Times New Roman"/>
          <w:lang w:val="en-NZ"/>
        </w:rPr>
        <w:t>9</w:t>
      </w:r>
      <w:r w:rsidR="00DA4B7F">
        <w:rPr>
          <w:rFonts w:hAnsi="Times New Roman" w:cs="Times New Roman"/>
          <w:lang w:val="en-NZ"/>
        </w:rPr>
        <w:t>0</w:t>
      </w:r>
      <w:r w:rsidRPr="002925AE">
        <w:rPr>
          <w:rFonts w:hAnsi="Times New Roman" w:cs="Times New Roman"/>
          <w:lang w:val="en-NZ"/>
        </w:rPr>
        <w:t xml:space="preserve"> or </w:t>
      </w:r>
      <w:r w:rsidR="00DA4B7F">
        <w:rPr>
          <w:rFonts w:hAnsi="Times New Roman" w:cs="Times New Roman"/>
          <w:lang w:val="en-NZ"/>
        </w:rPr>
        <w:t>7</w:t>
      </w:r>
      <w:r w:rsidR="00D83C99">
        <w:rPr>
          <w:rFonts w:hAnsi="Times New Roman" w:cs="Times New Roman"/>
          <w:lang w:val="en-NZ"/>
        </w:rPr>
        <w:t>1</w:t>
      </w:r>
      <w:r w:rsidRPr="002925AE">
        <w:rPr>
          <w:rFonts w:hAnsi="Times New Roman" w:cs="Times New Roman"/>
          <w:lang w:val="en-NZ"/>
        </w:rPr>
        <w:t xml:space="preserve"> per cent of the total)</w:t>
      </w:r>
      <w:r w:rsidR="00F36201">
        <w:rPr>
          <w:rFonts w:hAnsi="Times New Roman" w:cs="Times New Roman"/>
          <w:lang w:val="en-NZ"/>
        </w:rPr>
        <w:t xml:space="preserve">. </w:t>
      </w:r>
      <w:r w:rsidR="00F82080">
        <w:rPr>
          <w:rFonts w:hAnsi="Times New Roman" w:cs="Times New Roman"/>
          <w:lang w:val="en-NZ"/>
        </w:rPr>
        <w:t>Apart from</w:t>
      </w:r>
      <w:r w:rsidR="00F36201">
        <w:rPr>
          <w:rFonts w:hAnsi="Times New Roman" w:cs="Times New Roman"/>
          <w:lang w:val="en-NZ"/>
        </w:rPr>
        <w:t xml:space="preserve"> these case studies, t</w:t>
      </w:r>
      <w:r w:rsidR="00F82080">
        <w:rPr>
          <w:rFonts w:hAnsi="Times New Roman" w:cs="Times New Roman"/>
          <w:lang w:val="en-NZ"/>
        </w:rPr>
        <w:t>wo further</w:t>
      </w:r>
      <w:r w:rsidR="00F36201">
        <w:rPr>
          <w:rFonts w:hAnsi="Times New Roman" w:cs="Times New Roman"/>
          <w:lang w:val="en-NZ"/>
        </w:rPr>
        <w:t xml:space="preserve"> classifications were utilised: </w:t>
      </w:r>
      <w:r w:rsidR="00F36201" w:rsidRPr="002925AE">
        <w:rPr>
          <w:rFonts w:hAnsi="Times New Roman" w:cs="Times New Roman"/>
          <w:lang w:val="en-NZ"/>
        </w:rPr>
        <w:t xml:space="preserve">theoretical contributions </w:t>
      </w:r>
      <w:r w:rsidR="00F36201">
        <w:rPr>
          <w:rFonts w:hAnsi="Times New Roman" w:cs="Times New Roman"/>
          <w:lang w:val="en-NZ"/>
        </w:rPr>
        <w:t>(</w:t>
      </w:r>
      <w:r w:rsidR="004360B7">
        <w:rPr>
          <w:rFonts w:hAnsi="Times New Roman" w:cs="Times New Roman"/>
          <w:lang w:val="en-NZ"/>
        </w:rPr>
        <w:t>1</w:t>
      </w:r>
      <w:r w:rsidR="00D83C99">
        <w:rPr>
          <w:rFonts w:hAnsi="Times New Roman" w:cs="Times New Roman"/>
          <w:lang w:val="en-NZ"/>
        </w:rPr>
        <w:t>8</w:t>
      </w:r>
      <w:r w:rsidR="004360B7">
        <w:rPr>
          <w:rFonts w:hAnsi="Times New Roman" w:cs="Times New Roman"/>
          <w:lang w:val="en-NZ"/>
        </w:rPr>
        <w:t>/90</w:t>
      </w:r>
      <w:r w:rsidR="00F36201">
        <w:rPr>
          <w:rFonts w:hAnsi="Times New Roman" w:cs="Times New Roman"/>
          <w:lang w:val="en-NZ"/>
        </w:rPr>
        <w:t xml:space="preserve">, or </w:t>
      </w:r>
      <w:r w:rsidR="00D83C99">
        <w:rPr>
          <w:rFonts w:hAnsi="Times New Roman" w:cs="Times New Roman"/>
          <w:lang w:val="en-NZ"/>
        </w:rPr>
        <w:t>20</w:t>
      </w:r>
      <w:r w:rsidR="004360B7" w:rsidRPr="002925AE">
        <w:rPr>
          <w:rFonts w:hAnsi="Times New Roman" w:cs="Times New Roman"/>
          <w:lang w:val="en-NZ"/>
        </w:rPr>
        <w:t xml:space="preserve"> per cent of the total)</w:t>
      </w:r>
      <w:r w:rsidR="00F82080">
        <w:rPr>
          <w:rFonts w:hAnsi="Times New Roman" w:cs="Times New Roman"/>
          <w:lang w:val="en-NZ"/>
        </w:rPr>
        <w:t>,</w:t>
      </w:r>
      <w:r w:rsidR="004360B7" w:rsidRPr="002925AE">
        <w:rPr>
          <w:rFonts w:hAnsi="Times New Roman" w:cs="Times New Roman"/>
          <w:lang w:val="en-NZ"/>
        </w:rPr>
        <w:t xml:space="preserve"> and </w:t>
      </w:r>
      <w:r w:rsidR="00F36201" w:rsidRPr="002925AE">
        <w:rPr>
          <w:rFonts w:hAnsi="Times New Roman" w:cs="Times New Roman"/>
          <w:lang w:val="en-NZ"/>
        </w:rPr>
        <w:t xml:space="preserve">reviews of </w:t>
      </w:r>
      <w:r w:rsidR="00F36201">
        <w:rPr>
          <w:rFonts w:hAnsi="Times New Roman" w:cs="Times New Roman"/>
          <w:lang w:val="en-NZ"/>
        </w:rPr>
        <w:t>accounting history and religion (</w:t>
      </w:r>
      <w:r w:rsidR="004360B7">
        <w:rPr>
          <w:rFonts w:hAnsi="Times New Roman" w:cs="Times New Roman"/>
          <w:lang w:val="en-NZ"/>
        </w:rPr>
        <w:t>8/90</w:t>
      </w:r>
      <w:r w:rsidR="00F36201">
        <w:rPr>
          <w:rFonts w:hAnsi="Times New Roman" w:cs="Times New Roman"/>
          <w:lang w:val="en-NZ"/>
        </w:rPr>
        <w:t>, or</w:t>
      </w:r>
      <w:r w:rsidR="004360B7" w:rsidRPr="002925AE">
        <w:rPr>
          <w:rFonts w:hAnsi="Times New Roman" w:cs="Times New Roman"/>
          <w:lang w:val="en-NZ"/>
        </w:rPr>
        <w:t xml:space="preserve"> </w:t>
      </w:r>
      <w:r w:rsidR="004360B7">
        <w:rPr>
          <w:rFonts w:hAnsi="Times New Roman" w:cs="Times New Roman"/>
          <w:lang w:val="en-NZ"/>
        </w:rPr>
        <w:t>9</w:t>
      </w:r>
      <w:r w:rsidR="004360B7" w:rsidRPr="002925AE">
        <w:rPr>
          <w:rFonts w:hAnsi="Times New Roman" w:cs="Times New Roman"/>
          <w:lang w:val="en-NZ"/>
        </w:rPr>
        <w:t xml:space="preserve"> per cent)</w:t>
      </w:r>
      <w:r w:rsidR="00F36201">
        <w:rPr>
          <w:rFonts w:hAnsi="Times New Roman" w:cs="Times New Roman"/>
          <w:lang w:val="en-NZ"/>
        </w:rPr>
        <w:t>.</w:t>
      </w:r>
      <w:r w:rsidR="004360B7">
        <w:rPr>
          <w:rFonts w:hAnsi="Times New Roman" w:cs="Times New Roman"/>
          <w:lang w:val="en-NZ"/>
        </w:rPr>
        <w:t xml:space="preserve"> </w:t>
      </w:r>
      <w:r w:rsidR="00F82080">
        <w:rPr>
          <w:rFonts w:hAnsi="Times New Roman" w:cs="Times New Roman"/>
          <w:lang w:val="en-NZ"/>
        </w:rPr>
        <w:t>The c</w:t>
      </w:r>
      <w:r w:rsidR="002522DB">
        <w:rPr>
          <w:rFonts w:hAnsi="Times New Roman" w:cs="Times New Roman"/>
          <w:lang w:val="en-NZ"/>
        </w:rPr>
        <w:t xml:space="preserve">ase studies were further analysed by source and whether they utilised </w:t>
      </w:r>
      <w:r w:rsidR="000A15E4">
        <w:rPr>
          <w:rFonts w:hAnsi="Times New Roman" w:cs="Times New Roman"/>
          <w:lang w:val="en-NZ"/>
        </w:rPr>
        <w:t xml:space="preserve">explicitly </w:t>
      </w:r>
      <w:r w:rsidR="002522DB">
        <w:rPr>
          <w:rFonts w:hAnsi="Times New Roman" w:cs="Times New Roman"/>
          <w:lang w:val="en-NZ"/>
        </w:rPr>
        <w:t>either (or both) of the two main theories – accountability</w:t>
      </w:r>
      <w:r w:rsidR="004360B7">
        <w:rPr>
          <w:rFonts w:hAnsi="Times New Roman" w:cs="Times New Roman"/>
          <w:lang w:val="en-NZ"/>
        </w:rPr>
        <w:t xml:space="preserve"> </w:t>
      </w:r>
      <w:r w:rsidR="004360B7" w:rsidRPr="002925AE">
        <w:rPr>
          <w:rFonts w:hAnsi="Times New Roman" w:cs="Times New Roman"/>
          <w:lang w:val="en-NZ"/>
        </w:rPr>
        <w:t>(</w:t>
      </w:r>
      <w:r w:rsidR="004360B7">
        <w:rPr>
          <w:rFonts w:hAnsi="Times New Roman" w:cs="Times New Roman"/>
          <w:lang w:val="en-NZ"/>
        </w:rPr>
        <w:t>14/6</w:t>
      </w:r>
      <w:r w:rsidR="00D83C99">
        <w:rPr>
          <w:rFonts w:hAnsi="Times New Roman" w:cs="Times New Roman"/>
          <w:lang w:val="en-NZ"/>
        </w:rPr>
        <w:t>4</w:t>
      </w:r>
      <w:r w:rsidR="004360B7" w:rsidRPr="002925AE">
        <w:rPr>
          <w:rFonts w:hAnsi="Times New Roman" w:cs="Times New Roman"/>
          <w:lang w:val="en-NZ"/>
        </w:rPr>
        <w:t xml:space="preserve"> or </w:t>
      </w:r>
      <w:r w:rsidR="004360B7">
        <w:rPr>
          <w:rFonts w:hAnsi="Times New Roman" w:cs="Times New Roman"/>
          <w:lang w:val="en-NZ"/>
        </w:rPr>
        <w:t>22</w:t>
      </w:r>
      <w:r w:rsidR="004360B7" w:rsidRPr="002925AE">
        <w:rPr>
          <w:rFonts w:hAnsi="Times New Roman" w:cs="Times New Roman"/>
          <w:lang w:val="en-NZ"/>
        </w:rPr>
        <w:t xml:space="preserve"> per cent) </w:t>
      </w:r>
      <w:r w:rsidR="002522DB">
        <w:rPr>
          <w:rFonts w:hAnsi="Times New Roman" w:cs="Times New Roman"/>
          <w:lang w:val="en-NZ"/>
        </w:rPr>
        <w:t xml:space="preserve">and sacred-secular divide </w:t>
      </w:r>
      <w:r w:rsidR="004360B7" w:rsidRPr="002925AE">
        <w:rPr>
          <w:rFonts w:hAnsi="Times New Roman" w:cs="Times New Roman"/>
          <w:lang w:val="en-NZ"/>
        </w:rPr>
        <w:t>(</w:t>
      </w:r>
      <w:r w:rsidR="004360B7">
        <w:rPr>
          <w:rFonts w:hAnsi="Times New Roman" w:cs="Times New Roman"/>
          <w:lang w:val="en-NZ"/>
        </w:rPr>
        <w:t>22/6</w:t>
      </w:r>
      <w:r w:rsidR="00D83C99">
        <w:rPr>
          <w:rFonts w:hAnsi="Times New Roman" w:cs="Times New Roman"/>
          <w:lang w:val="en-NZ"/>
        </w:rPr>
        <w:t>4</w:t>
      </w:r>
      <w:r w:rsidR="004360B7" w:rsidRPr="002925AE">
        <w:rPr>
          <w:rFonts w:hAnsi="Times New Roman" w:cs="Times New Roman"/>
          <w:lang w:val="en-NZ"/>
        </w:rPr>
        <w:t xml:space="preserve"> or </w:t>
      </w:r>
      <w:r w:rsidR="004360B7">
        <w:rPr>
          <w:rFonts w:hAnsi="Times New Roman" w:cs="Times New Roman"/>
          <w:lang w:val="en-NZ"/>
        </w:rPr>
        <w:t>34 per cent)</w:t>
      </w:r>
      <w:r w:rsidR="004360B7" w:rsidRPr="002925AE">
        <w:rPr>
          <w:rFonts w:hAnsi="Times New Roman" w:cs="Times New Roman"/>
          <w:lang w:val="en-NZ"/>
        </w:rPr>
        <w:t xml:space="preserve"> </w:t>
      </w:r>
      <w:r w:rsidR="002522DB">
        <w:rPr>
          <w:rFonts w:hAnsi="Times New Roman" w:cs="Times New Roman"/>
          <w:lang w:val="en-NZ"/>
        </w:rPr>
        <w:t xml:space="preserve">– or analysed accounting antecedents </w:t>
      </w:r>
      <w:r w:rsidRPr="002925AE">
        <w:rPr>
          <w:rFonts w:hAnsi="Times New Roman" w:cs="Times New Roman"/>
          <w:lang w:val="en-NZ"/>
        </w:rPr>
        <w:t>(</w:t>
      </w:r>
      <w:r w:rsidR="0070092E">
        <w:rPr>
          <w:rFonts w:hAnsi="Times New Roman" w:cs="Times New Roman"/>
          <w:lang w:val="en-NZ"/>
        </w:rPr>
        <w:t>12</w:t>
      </w:r>
      <w:r w:rsidRPr="002925AE">
        <w:rPr>
          <w:rFonts w:hAnsi="Times New Roman" w:cs="Times New Roman"/>
          <w:lang w:val="en-NZ"/>
        </w:rPr>
        <w:t>/</w:t>
      </w:r>
      <w:r w:rsidR="0070092E">
        <w:rPr>
          <w:rFonts w:hAnsi="Times New Roman" w:cs="Times New Roman"/>
          <w:lang w:val="en-NZ"/>
        </w:rPr>
        <w:t>6</w:t>
      </w:r>
      <w:r w:rsidR="00D83C99">
        <w:rPr>
          <w:rFonts w:hAnsi="Times New Roman" w:cs="Times New Roman"/>
          <w:lang w:val="en-NZ"/>
        </w:rPr>
        <w:t>4</w:t>
      </w:r>
      <w:r w:rsidRPr="002925AE">
        <w:rPr>
          <w:rFonts w:hAnsi="Times New Roman" w:cs="Times New Roman"/>
          <w:lang w:val="en-NZ"/>
        </w:rPr>
        <w:t xml:space="preserve"> or </w:t>
      </w:r>
      <w:r w:rsidR="0070092E">
        <w:rPr>
          <w:rFonts w:hAnsi="Times New Roman" w:cs="Times New Roman"/>
          <w:lang w:val="en-NZ"/>
        </w:rPr>
        <w:t>1</w:t>
      </w:r>
      <w:r w:rsidR="00D83C99">
        <w:rPr>
          <w:rFonts w:hAnsi="Times New Roman" w:cs="Times New Roman"/>
          <w:lang w:val="en-NZ"/>
        </w:rPr>
        <w:t>9</w:t>
      </w:r>
      <w:r w:rsidRPr="002925AE">
        <w:rPr>
          <w:rFonts w:hAnsi="Times New Roman" w:cs="Times New Roman"/>
          <w:lang w:val="en-NZ"/>
        </w:rPr>
        <w:t xml:space="preserve"> per cent). </w:t>
      </w:r>
    </w:p>
    <w:p w:rsidR="00366B6D" w:rsidRPr="007D3040" w:rsidRDefault="00A72765" w:rsidP="004360B7">
      <w:pPr>
        <w:widowControl w:val="0"/>
        <w:spacing w:after="120" w:line="360" w:lineRule="auto"/>
        <w:jc w:val="center"/>
        <w:rPr>
          <w:b/>
          <w:bCs/>
          <w:lang w:val="en-NZ"/>
        </w:rPr>
      </w:pPr>
      <w:r>
        <w:rPr>
          <w:b/>
          <w:bCs/>
          <w:lang w:val="en-NZ"/>
        </w:rPr>
        <w:br w:type="column"/>
      </w:r>
      <w:r w:rsidR="000D1A57" w:rsidRPr="007D3040">
        <w:rPr>
          <w:b/>
          <w:bCs/>
          <w:lang w:val="en-NZ"/>
        </w:rPr>
        <w:lastRenderedPageBreak/>
        <w:t>Table 1: Main source, theoretical framework/theme and type of contribution on accounting history and religion.</w:t>
      </w:r>
    </w:p>
    <w:tbl>
      <w:tblPr>
        <w:tblW w:w="84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704"/>
        <w:gridCol w:w="992"/>
        <w:gridCol w:w="1418"/>
        <w:gridCol w:w="992"/>
        <w:gridCol w:w="1134"/>
        <w:gridCol w:w="1134"/>
        <w:gridCol w:w="960"/>
      </w:tblGrid>
      <w:tr w:rsidR="003F7AAA" w:rsidRPr="00B7040E" w:rsidTr="003F7AAA">
        <w:trPr>
          <w:trHeight w:val="600"/>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b/>
                <w:bCs/>
                <w:sz w:val="22"/>
                <w:szCs w:val="22"/>
                <w:lang w:val="en-NZ"/>
              </w:rPr>
            </w:pPr>
          </w:p>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Published by</w:t>
            </w:r>
          </w:p>
        </w:tc>
        <w:tc>
          <w:tcPr>
            <w:tcW w:w="704" w:type="dxa"/>
            <w:vMerge w:val="restart"/>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b/>
                <w:bCs/>
                <w:sz w:val="22"/>
                <w:szCs w:val="22"/>
                <w:lang w:val="en-NZ"/>
              </w:rPr>
            </w:pPr>
          </w:p>
          <w:p w:rsidR="003F7AAA" w:rsidRPr="00B7040E" w:rsidRDefault="003F7AAA" w:rsidP="003F7AAA">
            <w:pPr>
              <w:spacing w:line="360" w:lineRule="auto"/>
              <w:jc w:val="center"/>
              <w:rPr>
                <w:rFonts w:hAnsi="Times New Roman" w:cs="Times New Roman"/>
                <w:b/>
                <w:bCs/>
                <w:sz w:val="22"/>
                <w:szCs w:val="22"/>
                <w:lang w:val="en-NZ"/>
              </w:rPr>
            </w:pPr>
          </w:p>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Total</w:t>
            </w:r>
          </w:p>
        </w:tc>
        <w:tc>
          <w:tcPr>
            <w:tcW w:w="3402" w:type="dxa"/>
            <w:gridSpan w:val="3"/>
            <w:tcBorders>
              <w:top w:val="single" w:sz="4" w:space="0" w:color="000000"/>
              <w:left w:val="double" w:sz="4" w:space="0" w:color="000000"/>
              <w:bottom w:val="single" w:sz="4" w:space="0" w:color="000000"/>
              <w:right w:val="double" w:sz="4" w:space="0" w:color="000000"/>
            </w:tcBorders>
          </w:tcPr>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Study Type</w:t>
            </w:r>
          </w:p>
        </w:tc>
        <w:tc>
          <w:tcPr>
            <w:tcW w:w="3228" w:type="dxa"/>
            <w:gridSpan w:val="3"/>
            <w:tcBorders>
              <w:top w:val="single" w:sz="4" w:space="0" w:color="000000"/>
              <w:left w:val="double" w:sz="4" w:space="0" w:color="000000"/>
              <w:bottom w:val="single" w:sz="4" w:space="0" w:color="000000"/>
              <w:right w:val="doub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sz w:val="22"/>
                <w:szCs w:val="22"/>
                <w:lang w:val="en-NZ"/>
              </w:rPr>
            </w:pPr>
            <w:r>
              <w:rPr>
                <w:rFonts w:hAnsi="Times New Roman" w:cs="Times New Roman"/>
                <w:b/>
                <w:bCs/>
                <w:sz w:val="22"/>
                <w:szCs w:val="22"/>
                <w:lang w:val="en-NZ"/>
              </w:rPr>
              <w:t>Case Study Theoretical Framework/Theme</w:t>
            </w:r>
          </w:p>
        </w:tc>
      </w:tr>
      <w:tr w:rsidR="003F7AAA" w:rsidRPr="00B7040E" w:rsidTr="003F7AAA">
        <w:trPr>
          <w:trHeight w:val="900"/>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F7AAA" w:rsidRPr="00B7040E" w:rsidRDefault="003F7AAA" w:rsidP="003F7AAA">
            <w:pPr>
              <w:spacing w:line="360" w:lineRule="auto"/>
              <w:rPr>
                <w:rFonts w:hAnsi="Times New Roman" w:cs="Times New Roman"/>
                <w:sz w:val="22"/>
                <w:szCs w:val="22"/>
                <w:lang w:val="en-NZ"/>
              </w:rPr>
            </w:pPr>
          </w:p>
        </w:tc>
        <w:tc>
          <w:tcPr>
            <w:tcW w:w="704" w:type="dxa"/>
            <w:vMerge/>
            <w:tcBorders>
              <w:top w:val="single" w:sz="4" w:space="0" w:color="000000"/>
              <w:left w:val="single" w:sz="4" w:space="0" w:color="000000"/>
              <w:bottom w:val="single" w:sz="4" w:space="0" w:color="000000"/>
              <w:right w:val="double" w:sz="4" w:space="0" w:color="000000"/>
            </w:tcBorders>
            <w:shd w:val="clear" w:color="auto" w:fill="auto"/>
          </w:tcPr>
          <w:p w:rsidR="003F7AAA" w:rsidRPr="00B7040E" w:rsidRDefault="003F7AAA" w:rsidP="003F7AAA">
            <w:pPr>
              <w:spacing w:line="360" w:lineRule="auto"/>
              <w:rPr>
                <w:rFonts w:hAnsi="Times New Roman" w:cs="Times New Roman"/>
                <w:sz w:val="22"/>
                <w:szCs w:val="22"/>
                <w:lang w:val="en-NZ"/>
              </w:rPr>
            </w:pPr>
          </w:p>
        </w:tc>
        <w:tc>
          <w:tcPr>
            <w:tcW w:w="992" w:type="dxa"/>
            <w:tcBorders>
              <w:top w:val="single" w:sz="4" w:space="0" w:color="000000"/>
              <w:left w:val="double" w:sz="4" w:space="0" w:color="000000"/>
              <w:bottom w:val="single" w:sz="4" w:space="0" w:color="000000"/>
              <w:right w:val="single" w:sz="4" w:space="0" w:color="000000"/>
            </w:tcBorders>
          </w:tcPr>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Case-study</w:t>
            </w:r>
          </w:p>
        </w:tc>
        <w:tc>
          <w:tcPr>
            <w:tcW w:w="1418" w:type="dxa"/>
            <w:tcBorders>
              <w:top w:val="single" w:sz="4" w:space="0" w:color="000000"/>
              <w:left w:val="single" w:sz="4" w:space="0" w:color="000000"/>
              <w:bottom w:val="single" w:sz="4" w:space="0" w:color="000000"/>
              <w:right w:val="single" w:sz="4" w:space="0" w:color="000000"/>
            </w:tcBorders>
          </w:tcPr>
          <w:p w:rsidR="003F7AAA" w:rsidRPr="00B7040E" w:rsidRDefault="003F7AAA" w:rsidP="003F7AAA">
            <w:pPr>
              <w:spacing w:line="360" w:lineRule="auto"/>
              <w:jc w:val="center"/>
              <w:rPr>
                <w:rFonts w:hAnsi="Times New Roman" w:cs="Times New Roman"/>
                <w:sz w:val="22"/>
                <w:szCs w:val="22"/>
                <w:lang w:val="en-NZ"/>
              </w:rPr>
            </w:pPr>
            <w:r>
              <w:rPr>
                <w:rFonts w:hAnsi="Times New Roman" w:cs="Times New Roman"/>
                <w:b/>
                <w:bCs/>
                <w:sz w:val="22"/>
                <w:szCs w:val="22"/>
                <w:lang w:val="en-NZ"/>
              </w:rPr>
              <w:t xml:space="preserve">Theoretical Analysis </w:t>
            </w:r>
          </w:p>
        </w:tc>
        <w:tc>
          <w:tcPr>
            <w:tcW w:w="992" w:type="dxa"/>
            <w:tcBorders>
              <w:top w:val="single" w:sz="4" w:space="0" w:color="000000"/>
              <w:left w:val="single" w:sz="4" w:space="0" w:color="000000"/>
              <w:bottom w:val="single" w:sz="4" w:space="0" w:color="000000"/>
              <w:right w:val="single" w:sz="4" w:space="0" w:color="000000"/>
            </w:tcBorders>
          </w:tcPr>
          <w:p w:rsidR="003F7AAA" w:rsidRPr="00B7040E" w:rsidRDefault="003F7AAA" w:rsidP="003F7AAA">
            <w:pPr>
              <w:spacing w:line="360" w:lineRule="auto"/>
              <w:jc w:val="center"/>
              <w:rPr>
                <w:rFonts w:hAnsi="Times New Roman" w:cs="Times New Roman"/>
                <w:sz w:val="22"/>
                <w:szCs w:val="22"/>
                <w:lang w:val="en-NZ"/>
              </w:rPr>
            </w:pPr>
            <w:r>
              <w:rPr>
                <w:rFonts w:hAnsi="Times New Roman" w:cs="Times New Roman"/>
                <w:b/>
                <w:bCs/>
                <w:sz w:val="22"/>
                <w:szCs w:val="22"/>
                <w:lang w:val="en-NZ"/>
              </w:rPr>
              <w:t>Review of Studies</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Sacred- Secular Divide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Account-ability</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tcPr>
          <w:p w:rsidR="003F7AAA" w:rsidRPr="00B7040E" w:rsidRDefault="003F7AAA" w:rsidP="003F7AAA">
            <w:pPr>
              <w:spacing w:line="360" w:lineRule="auto"/>
              <w:jc w:val="center"/>
              <w:rPr>
                <w:rFonts w:hAnsi="Times New Roman" w:cs="Times New Roman"/>
                <w:sz w:val="22"/>
                <w:szCs w:val="22"/>
                <w:lang w:val="en-NZ"/>
              </w:rPr>
            </w:pPr>
            <w:r w:rsidRPr="00B7040E">
              <w:rPr>
                <w:rFonts w:hAnsi="Times New Roman" w:cs="Times New Roman"/>
                <w:b/>
                <w:bCs/>
                <w:sz w:val="22"/>
                <w:szCs w:val="22"/>
                <w:lang w:val="en-NZ"/>
              </w:rPr>
              <w:t>Ante-cedents</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AH</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18</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14</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2</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6</w:t>
            </w:r>
            <w:r w:rsidRPr="00B7040E">
              <w:rPr>
                <w:rFonts w:hAnsi="Times New Roman" w:cs="Times New Roman"/>
                <w:sz w:val="22"/>
                <w:szCs w:val="22"/>
                <w:vertAlign w:val="superscript"/>
                <w:lang w:val="en-NZ"/>
              </w:rPr>
              <w:t>#</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4</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AHJ</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12</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3</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1</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2</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AAAJ</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12</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A72765"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1</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315E7B">
              <w:rPr>
                <w:rFonts w:hAnsi="Times New Roman" w:cs="Times New Roman"/>
                <w:sz w:val="22"/>
                <w:szCs w:val="22"/>
                <w:lang w:val="en-NZ"/>
              </w:rPr>
              <w:t>1</w:t>
            </w:r>
            <w:r w:rsidRPr="00B7040E">
              <w:rPr>
                <w:rFonts w:hAnsi="Times New Roman" w:cs="Times New Roman"/>
                <w:sz w:val="22"/>
                <w:szCs w:val="22"/>
                <w:vertAlign w:val="superscript"/>
                <w:lang w:val="en-NZ"/>
              </w:rPr>
              <w:t>#</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AHR</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8</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AOS</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5</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1</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2</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FAM</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5</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2</w:t>
            </w:r>
            <w:r w:rsidRPr="00B7040E">
              <w:rPr>
                <w:rFonts w:hAnsi="Times New Roman" w:cs="Times New Roman"/>
                <w:sz w:val="22"/>
                <w:szCs w:val="22"/>
                <w:vertAlign w:val="superscript"/>
                <w:lang w:val="en-NZ"/>
              </w:rPr>
              <w:t>#</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i/>
                <w:iCs/>
                <w:sz w:val="22"/>
                <w:szCs w:val="22"/>
                <w:lang w:val="en-NZ"/>
              </w:rPr>
              <w:t>Other</w:t>
            </w:r>
            <w:r w:rsidRPr="00B7040E">
              <w:rPr>
                <w:rFonts w:hAnsi="Times New Roman" w:cs="Times New Roman"/>
                <w:i/>
                <w:iCs/>
                <w:sz w:val="22"/>
                <w:szCs w:val="22"/>
                <w:vertAlign w:val="superscript"/>
                <w:lang w:val="en-NZ"/>
              </w:rPr>
              <w:t>*</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30</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17</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2</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sidRPr="00B7040E">
              <w:rPr>
                <w:rFonts w:hAnsi="Times New Roman" w:cs="Times New Roman"/>
                <w:sz w:val="22"/>
                <w:szCs w:val="22"/>
                <w:lang w:val="en-NZ"/>
              </w:rPr>
              <w:t>3</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sz w:val="22"/>
                <w:szCs w:val="22"/>
                <w:lang w:val="en-NZ"/>
              </w:rPr>
              <w:t>4</w:t>
            </w:r>
          </w:p>
        </w:tc>
      </w:tr>
      <w:tr w:rsidR="003F7AAA" w:rsidRPr="00B7040E" w:rsidTr="003F7AAA">
        <w:trPr>
          <w:trHeight w:val="3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AA" w:rsidRPr="00B7040E" w:rsidRDefault="003F7AAA" w:rsidP="003F7AAA">
            <w:pPr>
              <w:spacing w:after="120" w:line="360" w:lineRule="auto"/>
              <w:rPr>
                <w:rFonts w:hAnsi="Times New Roman" w:cs="Times New Roman"/>
                <w:sz w:val="22"/>
                <w:szCs w:val="22"/>
                <w:lang w:val="en-NZ"/>
              </w:rPr>
            </w:pPr>
            <w:r w:rsidRPr="00B7040E">
              <w:rPr>
                <w:rFonts w:hAnsi="Times New Roman" w:cs="Times New Roman"/>
                <w:b/>
                <w:bCs/>
                <w:sz w:val="22"/>
                <w:szCs w:val="22"/>
                <w:lang w:val="en-NZ"/>
              </w:rPr>
              <w:t>TOTAL</w:t>
            </w:r>
          </w:p>
        </w:tc>
        <w:tc>
          <w:tcPr>
            <w:tcW w:w="704"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90</w:t>
            </w:r>
          </w:p>
        </w:tc>
        <w:tc>
          <w:tcPr>
            <w:tcW w:w="992" w:type="dxa"/>
            <w:tcBorders>
              <w:top w:val="single" w:sz="4" w:space="0" w:color="000000"/>
              <w:left w:val="doub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64</w:t>
            </w:r>
          </w:p>
        </w:tc>
        <w:tc>
          <w:tcPr>
            <w:tcW w:w="1418"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B2876"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8</w:t>
            </w:r>
          </w:p>
        </w:tc>
        <w:tc>
          <w:tcPr>
            <w:tcW w:w="1134" w:type="dxa"/>
            <w:tcBorders>
              <w:top w:val="single" w:sz="4" w:space="0" w:color="000000"/>
              <w:left w:val="doub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14</w:t>
            </w:r>
          </w:p>
        </w:tc>
        <w:tc>
          <w:tcPr>
            <w:tcW w:w="960" w:type="dxa"/>
            <w:tcBorders>
              <w:top w:val="single" w:sz="4" w:space="0" w:color="000000"/>
              <w:left w:val="single" w:sz="4" w:space="0" w:color="000000"/>
              <w:bottom w:val="single" w:sz="4" w:space="0" w:color="000000"/>
              <w:right w:val="double" w:sz="4" w:space="0" w:color="000000"/>
            </w:tcBorders>
            <w:shd w:val="clear" w:color="auto" w:fill="auto"/>
            <w:tcMar>
              <w:top w:w="80" w:type="dxa"/>
              <w:left w:w="80" w:type="dxa"/>
              <w:bottom w:w="80" w:type="dxa"/>
              <w:right w:w="80" w:type="dxa"/>
            </w:tcMar>
            <w:vAlign w:val="center"/>
          </w:tcPr>
          <w:p w:rsidR="003F7AAA" w:rsidRPr="00B7040E" w:rsidRDefault="003F7AAA" w:rsidP="003F7AAA">
            <w:pPr>
              <w:spacing w:after="120" w:line="360" w:lineRule="auto"/>
              <w:jc w:val="center"/>
              <w:rPr>
                <w:rFonts w:hAnsi="Times New Roman" w:cs="Times New Roman"/>
                <w:sz w:val="22"/>
                <w:szCs w:val="22"/>
                <w:lang w:val="en-NZ"/>
              </w:rPr>
            </w:pPr>
            <w:r>
              <w:rPr>
                <w:rFonts w:hAnsi="Times New Roman" w:cs="Times New Roman"/>
                <w:b/>
                <w:bCs/>
                <w:sz w:val="22"/>
                <w:szCs w:val="22"/>
                <w:lang w:val="en-NZ"/>
              </w:rPr>
              <w:t>12</w:t>
            </w:r>
          </w:p>
        </w:tc>
      </w:tr>
    </w:tbl>
    <w:p w:rsidR="00366B6D" w:rsidRPr="007D3040" w:rsidRDefault="000D1A57" w:rsidP="007D3040">
      <w:pPr>
        <w:tabs>
          <w:tab w:val="left" w:pos="426"/>
        </w:tabs>
        <w:spacing w:line="360" w:lineRule="auto"/>
        <w:rPr>
          <w:lang w:val="en-NZ"/>
        </w:rPr>
      </w:pPr>
      <w:r w:rsidRPr="007D3040">
        <w:rPr>
          <w:lang w:val="en-NZ"/>
        </w:rPr>
        <w:t xml:space="preserve">* </w:t>
      </w:r>
      <w:r w:rsidRPr="007D3040">
        <w:rPr>
          <w:lang w:val="en-NZ"/>
        </w:rPr>
        <w:tab/>
        <w:t xml:space="preserve">These were from a range of sources. Two contributions took a Foucauldian lens. </w:t>
      </w:r>
    </w:p>
    <w:p w:rsidR="00366B6D" w:rsidRPr="007D3040" w:rsidRDefault="000D1A57" w:rsidP="007D3040">
      <w:pPr>
        <w:tabs>
          <w:tab w:val="left" w:pos="426"/>
        </w:tabs>
        <w:spacing w:line="360" w:lineRule="auto"/>
        <w:ind w:left="426" w:hanging="426"/>
        <w:rPr>
          <w:lang w:val="en-NZ"/>
        </w:rPr>
      </w:pPr>
      <w:r w:rsidRPr="007D3040">
        <w:rPr>
          <w:lang w:val="en-NZ"/>
        </w:rPr>
        <w:t>#</w:t>
      </w:r>
      <w:r w:rsidRPr="007D3040">
        <w:rPr>
          <w:lang w:val="en-NZ"/>
        </w:rPr>
        <w:tab/>
        <w:t xml:space="preserve">At least one study considered the sacred-secular divide and accountability jointly. </w:t>
      </w:r>
    </w:p>
    <w:p w:rsidR="00366B6D" w:rsidRPr="007D3040" w:rsidRDefault="00366B6D" w:rsidP="007D3040">
      <w:pPr>
        <w:tabs>
          <w:tab w:val="left" w:pos="1414"/>
        </w:tabs>
        <w:spacing w:after="120" w:line="360" w:lineRule="auto"/>
        <w:rPr>
          <w:lang w:val="en-NZ"/>
        </w:rPr>
      </w:pPr>
    </w:p>
    <w:p w:rsidR="00366B6D" w:rsidRPr="007D3040" w:rsidRDefault="000D1A57" w:rsidP="002C6554">
      <w:pPr>
        <w:spacing w:after="120" w:line="360" w:lineRule="auto"/>
        <w:rPr>
          <w:lang w:val="en-NZ"/>
        </w:rPr>
      </w:pPr>
      <w:r w:rsidRPr="007D3040">
        <w:rPr>
          <w:lang w:val="en-NZ"/>
        </w:rPr>
        <w:t>In addition, the</w:t>
      </w:r>
      <w:r w:rsidR="002C6554">
        <w:rPr>
          <w:lang w:val="en-NZ"/>
        </w:rPr>
        <w:t xml:space="preserve"> ca</w:t>
      </w:r>
      <w:r w:rsidRPr="007D3040">
        <w:rPr>
          <w:lang w:val="en-NZ"/>
        </w:rPr>
        <w:t xml:space="preserve">se studies were also analysed by </w:t>
      </w:r>
      <w:r w:rsidR="002C6554">
        <w:rPr>
          <w:lang w:val="en-NZ"/>
        </w:rPr>
        <w:t xml:space="preserve">time period, </w:t>
      </w:r>
      <w:r w:rsidRPr="007D3040">
        <w:rPr>
          <w:lang w:val="en-NZ"/>
        </w:rPr>
        <w:t>faith and region, as shown in Table 2. This shows a predominance of case studies from the Christian religion (</w:t>
      </w:r>
      <w:r w:rsidR="00D83C99">
        <w:rPr>
          <w:lang w:val="en-NZ"/>
        </w:rPr>
        <w:t>44</w:t>
      </w:r>
      <w:r w:rsidRPr="007D3040">
        <w:rPr>
          <w:lang w:val="en-NZ"/>
        </w:rPr>
        <w:t>/</w:t>
      </w:r>
      <w:r w:rsidR="00D83C99">
        <w:rPr>
          <w:lang w:val="en-NZ"/>
        </w:rPr>
        <w:t>64</w:t>
      </w:r>
      <w:r w:rsidR="00DA4B7F">
        <w:rPr>
          <w:lang w:val="en-NZ"/>
        </w:rPr>
        <w:t xml:space="preserve"> or 69 per cent</w:t>
      </w:r>
      <w:r w:rsidRPr="007D3040">
        <w:rPr>
          <w:lang w:val="en-NZ"/>
        </w:rPr>
        <w:t>)</w:t>
      </w:r>
      <w:r w:rsidR="004360B7">
        <w:rPr>
          <w:lang w:val="en-NZ"/>
        </w:rPr>
        <w:t xml:space="preserve"> over Islam, Buddhist and other religions. There is also a predominance of studies</w:t>
      </w:r>
      <w:r w:rsidRPr="007D3040">
        <w:rPr>
          <w:lang w:val="en-NZ"/>
        </w:rPr>
        <w:t xml:space="preserve"> from Europe (including the UK). Of the </w:t>
      </w:r>
      <w:r w:rsidR="00D83C99">
        <w:rPr>
          <w:lang w:val="en-NZ"/>
        </w:rPr>
        <w:t>64</w:t>
      </w:r>
      <w:r w:rsidRPr="007D3040">
        <w:rPr>
          <w:lang w:val="en-NZ"/>
        </w:rPr>
        <w:t xml:space="preserve"> case studies analysed in this review, </w:t>
      </w:r>
      <w:r w:rsidR="00DA4B7F">
        <w:rPr>
          <w:lang w:val="en-NZ"/>
        </w:rPr>
        <w:t>4</w:t>
      </w:r>
      <w:r w:rsidR="004164D6">
        <w:rPr>
          <w:lang w:val="en-NZ"/>
        </w:rPr>
        <w:t>2</w:t>
      </w:r>
      <w:r w:rsidRPr="007D3040">
        <w:rPr>
          <w:lang w:val="en-NZ"/>
        </w:rPr>
        <w:t xml:space="preserve"> per cent (</w:t>
      </w:r>
      <w:r w:rsidR="004164D6">
        <w:rPr>
          <w:lang w:val="en-NZ"/>
        </w:rPr>
        <w:t>27</w:t>
      </w:r>
      <w:r w:rsidRPr="007D3040">
        <w:rPr>
          <w:lang w:val="en-NZ"/>
        </w:rPr>
        <w:t xml:space="preserve">) were based on data from Europe and the UK, with </w:t>
      </w:r>
      <w:r w:rsidR="002C6554">
        <w:rPr>
          <w:lang w:val="en-NZ"/>
        </w:rPr>
        <w:t>2</w:t>
      </w:r>
      <w:r w:rsidR="004164D6">
        <w:rPr>
          <w:lang w:val="en-NZ"/>
        </w:rPr>
        <w:t>8</w:t>
      </w:r>
      <w:r w:rsidRPr="007D3040">
        <w:rPr>
          <w:lang w:val="en-NZ"/>
        </w:rPr>
        <w:t xml:space="preserve"> per cent (</w:t>
      </w:r>
      <w:r w:rsidR="004164D6">
        <w:rPr>
          <w:lang w:val="en-NZ"/>
        </w:rPr>
        <w:t>18</w:t>
      </w:r>
      <w:r w:rsidRPr="007D3040">
        <w:rPr>
          <w:lang w:val="en-NZ"/>
        </w:rPr>
        <w:t xml:space="preserve">) from </w:t>
      </w:r>
      <w:r w:rsidR="004164D6">
        <w:rPr>
          <w:lang w:val="en-NZ"/>
        </w:rPr>
        <w:t>Asia/</w:t>
      </w:r>
      <w:r w:rsidRPr="007D3040">
        <w:rPr>
          <w:lang w:val="en-NZ"/>
        </w:rPr>
        <w:t xml:space="preserve">Oceania, </w:t>
      </w:r>
      <w:r w:rsidR="00097F6E">
        <w:rPr>
          <w:lang w:val="en-NZ"/>
        </w:rPr>
        <w:t>ten</w:t>
      </w:r>
      <w:r w:rsidR="00097F6E" w:rsidRPr="007D3040">
        <w:rPr>
          <w:lang w:val="en-NZ"/>
        </w:rPr>
        <w:t xml:space="preserve"> (</w:t>
      </w:r>
      <w:r w:rsidR="00097F6E">
        <w:rPr>
          <w:lang w:val="en-NZ"/>
        </w:rPr>
        <w:t>16</w:t>
      </w:r>
      <w:r w:rsidR="00097F6E" w:rsidRPr="007D3040">
        <w:rPr>
          <w:lang w:val="en-NZ"/>
        </w:rPr>
        <w:t xml:space="preserve"> per cent) from the Americas</w:t>
      </w:r>
      <w:r w:rsidR="00097F6E">
        <w:rPr>
          <w:lang w:val="en-NZ"/>
        </w:rPr>
        <w:t>, and</w:t>
      </w:r>
      <w:r w:rsidR="00097F6E" w:rsidRPr="007D3040">
        <w:rPr>
          <w:lang w:val="en-NZ"/>
        </w:rPr>
        <w:t xml:space="preserve"> </w:t>
      </w:r>
      <w:r w:rsidR="004164D6">
        <w:rPr>
          <w:lang w:val="en-NZ"/>
        </w:rPr>
        <w:t>14</w:t>
      </w:r>
      <w:r w:rsidRPr="007D3040">
        <w:rPr>
          <w:lang w:val="en-NZ"/>
        </w:rPr>
        <w:t xml:space="preserve"> per cent (</w:t>
      </w:r>
      <w:r w:rsidR="00097F6E">
        <w:rPr>
          <w:lang w:val="en-NZ"/>
        </w:rPr>
        <w:t>9</w:t>
      </w:r>
      <w:r w:rsidRPr="007D3040">
        <w:rPr>
          <w:lang w:val="en-NZ"/>
        </w:rPr>
        <w:t>) from Africa and the Middle East (see Table 2). This dominance of Europe, and also English speaking Oceania</w:t>
      </w:r>
      <w:r w:rsidR="00F82080">
        <w:rPr>
          <w:lang w:val="en-NZ"/>
        </w:rPr>
        <w:t>,</w:t>
      </w:r>
      <w:r w:rsidRPr="007D3040">
        <w:rPr>
          <w:lang w:val="en-NZ"/>
        </w:rPr>
        <w:t xml:space="preserve"> over other sites </w:t>
      </w:r>
      <w:r w:rsidR="004360B7">
        <w:rPr>
          <w:lang w:val="en-NZ"/>
        </w:rPr>
        <w:t>is</w:t>
      </w:r>
      <w:r w:rsidRPr="007D3040">
        <w:rPr>
          <w:lang w:val="en-NZ"/>
        </w:rPr>
        <w:t xml:space="preserve"> also high</w:t>
      </w:r>
      <w:r w:rsidR="004360B7">
        <w:rPr>
          <w:lang w:val="en-NZ"/>
        </w:rPr>
        <w:t>lighted, for example, by Bisman</w:t>
      </w:r>
      <w:r w:rsidRPr="007D3040">
        <w:rPr>
          <w:lang w:val="en-NZ"/>
        </w:rPr>
        <w:t xml:space="preserve"> </w:t>
      </w:r>
      <w:r w:rsidR="004360B7">
        <w:rPr>
          <w:lang w:val="en-NZ"/>
        </w:rPr>
        <w:t>(</w:t>
      </w:r>
      <w:r w:rsidRPr="007D3040">
        <w:rPr>
          <w:lang w:val="en-NZ"/>
        </w:rPr>
        <w:t>2012</w:t>
      </w:r>
      <w:r w:rsidR="004360B7">
        <w:rPr>
          <w:lang w:val="en-NZ"/>
        </w:rPr>
        <w:t>)</w:t>
      </w:r>
      <w:r w:rsidRPr="007D3040">
        <w:rPr>
          <w:lang w:val="en-NZ"/>
        </w:rPr>
        <w:t>.</w:t>
      </w:r>
    </w:p>
    <w:p w:rsidR="00366B6D" w:rsidRPr="007D3040" w:rsidRDefault="000D1A57" w:rsidP="004360B7">
      <w:pPr>
        <w:pStyle w:val="Caption"/>
        <w:spacing w:line="360" w:lineRule="auto"/>
        <w:rPr>
          <w:lang w:val="en-NZ"/>
        </w:rPr>
      </w:pPr>
      <w:r w:rsidRPr="007D3040">
        <w:rPr>
          <w:lang w:val="en-NZ"/>
        </w:rPr>
        <w:lastRenderedPageBreak/>
        <w:t>Table 2: Time period, faith and region for case studies on accounting history and religion.</w:t>
      </w:r>
    </w:p>
    <w:tbl>
      <w:tblPr>
        <w:tblW w:w="90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
        <w:gridCol w:w="709"/>
        <w:gridCol w:w="992"/>
        <w:gridCol w:w="709"/>
        <w:gridCol w:w="1129"/>
        <w:gridCol w:w="713"/>
        <w:gridCol w:w="850"/>
        <w:gridCol w:w="993"/>
        <w:gridCol w:w="992"/>
        <w:gridCol w:w="993"/>
      </w:tblGrid>
      <w:tr w:rsidR="004B2669" w:rsidRPr="002925AE" w:rsidTr="004B2669">
        <w:trPr>
          <w:trHeight w:val="300"/>
          <w:jc w:val="center"/>
        </w:trPr>
        <w:tc>
          <w:tcPr>
            <w:tcW w:w="992" w:type="dxa"/>
            <w:vMerge w:val="restar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7D3040">
            <w:pPr>
              <w:spacing w:after="120" w:line="360" w:lineRule="auto"/>
              <w:rPr>
                <w:rFonts w:hAnsi="Times New Roman" w:cs="Times New Roman"/>
                <w:b/>
                <w:bCs/>
                <w:sz w:val="20"/>
                <w:szCs w:val="20"/>
                <w:lang w:val="en-NZ"/>
              </w:rPr>
            </w:pPr>
          </w:p>
          <w:p w:rsidR="004B2669" w:rsidRPr="002925AE" w:rsidRDefault="004B2669" w:rsidP="007D3040">
            <w:pPr>
              <w:spacing w:after="120" w:line="360" w:lineRule="auto"/>
              <w:rPr>
                <w:rFonts w:hAnsi="Times New Roman" w:cs="Times New Roman"/>
                <w:sz w:val="20"/>
                <w:szCs w:val="20"/>
                <w:lang w:val="en-NZ"/>
              </w:rPr>
            </w:pPr>
            <w:r w:rsidRPr="002925AE">
              <w:rPr>
                <w:rFonts w:hAnsi="Times New Roman" w:cs="Times New Roman"/>
                <w:b/>
                <w:bCs/>
                <w:sz w:val="20"/>
                <w:szCs w:val="20"/>
                <w:lang w:val="en-NZ"/>
              </w:rPr>
              <w:t>Period data from</w:t>
            </w:r>
            <w:r>
              <w:rPr>
                <w:rFonts w:hAnsi="Times New Roman" w:cs="Times New Roman"/>
                <w:b/>
                <w:bCs/>
                <w:sz w:val="20"/>
                <w:szCs w:val="20"/>
                <w:lang w:val="en-NZ"/>
              </w:rPr>
              <w:t>:</w:t>
            </w:r>
          </w:p>
        </w:tc>
        <w:tc>
          <w:tcPr>
            <w:tcW w:w="709" w:type="dxa"/>
            <w:vMerge w:val="restart"/>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tcPr>
          <w:p w:rsidR="004B2669" w:rsidRPr="002925AE" w:rsidRDefault="004B2669" w:rsidP="007D3040">
            <w:pPr>
              <w:spacing w:after="120" w:line="360" w:lineRule="auto"/>
              <w:rPr>
                <w:rFonts w:hAnsi="Times New Roman" w:cs="Times New Roman"/>
                <w:b/>
                <w:bCs/>
                <w:sz w:val="20"/>
                <w:szCs w:val="20"/>
                <w:lang w:val="en-NZ"/>
              </w:rPr>
            </w:pPr>
          </w:p>
          <w:p w:rsidR="004B2669" w:rsidRPr="002925AE" w:rsidRDefault="004B2669" w:rsidP="007D3040">
            <w:pPr>
              <w:spacing w:after="120" w:line="360" w:lineRule="auto"/>
              <w:rPr>
                <w:rFonts w:hAnsi="Times New Roman" w:cs="Times New Roman"/>
                <w:sz w:val="20"/>
                <w:szCs w:val="20"/>
                <w:lang w:val="en-NZ"/>
              </w:rPr>
            </w:pPr>
            <w:r w:rsidRPr="002925AE">
              <w:rPr>
                <w:rFonts w:hAnsi="Times New Roman" w:cs="Times New Roman"/>
                <w:b/>
                <w:bCs/>
                <w:sz w:val="20"/>
                <w:szCs w:val="20"/>
                <w:lang w:val="en-NZ"/>
              </w:rPr>
              <w:t>Total</w:t>
            </w:r>
          </w:p>
        </w:tc>
        <w:tc>
          <w:tcPr>
            <w:tcW w:w="3543" w:type="dxa"/>
            <w:gridSpan w:val="4"/>
            <w:tcBorders>
              <w:top w:val="single" w:sz="4" w:space="0" w:color="BFBFBF"/>
              <w:left w:val="double" w:sz="4" w:space="0" w:color="BFBFBF"/>
              <w:bottom w:val="single" w:sz="4" w:space="0" w:color="BFBFBF"/>
              <w:right w:val="single" w:sz="4" w:space="0" w:color="BFBFBF"/>
            </w:tcBorders>
          </w:tcPr>
          <w:p w:rsidR="004B2669" w:rsidRPr="002925AE" w:rsidRDefault="004B2669" w:rsidP="007D3040">
            <w:pPr>
              <w:spacing w:after="120" w:line="360" w:lineRule="auto"/>
              <w:jc w:val="center"/>
              <w:rPr>
                <w:rFonts w:hAnsi="Times New Roman" w:cs="Times New Roman"/>
                <w:sz w:val="20"/>
                <w:szCs w:val="20"/>
                <w:lang w:val="en-NZ"/>
              </w:rPr>
            </w:pPr>
            <w:r w:rsidRPr="002925AE">
              <w:rPr>
                <w:rFonts w:hAnsi="Times New Roman" w:cs="Times New Roman"/>
                <w:b/>
                <w:bCs/>
                <w:sz w:val="20"/>
                <w:szCs w:val="20"/>
                <w:lang w:val="en-NZ"/>
              </w:rPr>
              <w:t>Faith</w:t>
            </w:r>
          </w:p>
        </w:tc>
        <w:tc>
          <w:tcPr>
            <w:tcW w:w="3828" w:type="dxa"/>
            <w:gridSpan w:val="4"/>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tcPr>
          <w:p w:rsidR="004B2669" w:rsidRPr="002925AE" w:rsidRDefault="004B2669" w:rsidP="007D3040">
            <w:pPr>
              <w:spacing w:after="120" w:line="360" w:lineRule="auto"/>
              <w:jc w:val="center"/>
              <w:rPr>
                <w:rFonts w:hAnsi="Times New Roman" w:cs="Times New Roman"/>
                <w:sz w:val="20"/>
                <w:szCs w:val="20"/>
                <w:lang w:val="en-NZ"/>
              </w:rPr>
            </w:pPr>
            <w:r w:rsidRPr="002925AE">
              <w:rPr>
                <w:rFonts w:hAnsi="Times New Roman" w:cs="Times New Roman"/>
                <w:b/>
                <w:bCs/>
                <w:sz w:val="20"/>
                <w:szCs w:val="20"/>
                <w:lang w:val="en-NZ"/>
              </w:rPr>
              <w:t>Region</w:t>
            </w:r>
          </w:p>
        </w:tc>
      </w:tr>
      <w:tr w:rsidR="004B2669" w:rsidRPr="002925AE" w:rsidTr="004B2669">
        <w:trPr>
          <w:trHeight w:val="882"/>
          <w:jc w:val="center"/>
        </w:trPr>
        <w:tc>
          <w:tcPr>
            <w:tcW w:w="992" w:type="dxa"/>
            <w:vMerge/>
            <w:tcBorders>
              <w:top w:val="single" w:sz="4" w:space="0" w:color="BFBFBF"/>
              <w:left w:val="single" w:sz="4" w:space="0" w:color="BFBFBF"/>
              <w:bottom w:val="single" w:sz="4" w:space="0" w:color="BFBFBF"/>
              <w:right w:val="single" w:sz="4" w:space="0" w:color="BFBFBF"/>
            </w:tcBorders>
            <w:shd w:val="clear" w:color="auto" w:fill="auto"/>
          </w:tcPr>
          <w:p w:rsidR="004B2669" w:rsidRPr="002925AE" w:rsidRDefault="004B2669" w:rsidP="004B2669">
            <w:pPr>
              <w:spacing w:line="360" w:lineRule="auto"/>
              <w:rPr>
                <w:rFonts w:hAnsi="Times New Roman" w:cs="Times New Roman"/>
                <w:sz w:val="20"/>
                <w:szCs w:val="20"/>
                <w:lang w:val="en-NZ"/>
              </w:rPr>
            </w:pPr>
          </w:p>
        </w:tc>
        <w:tc>
          <w:tcPr>
            <w:tcW w:w="709" w:type="dxa"/>
            <w:vMerge/>
            <w:tcBorders>
              <w:top w:val="single" w:sz="4" w:space="0" w:color="BFBFBF"/>
              <w:left w:val="single" w:sz="4" w:space="0" w:color="BFBFBF"/>
              <w:bottom w:val="single" w:sz="4" w:space="0" w:color="BFBFBF"/>
              <w:right w:val="double" w:sz="4" w:space="0" w:color="BFBFBF"/>
            </w:tcBorders>
            <w:shd w:val="clear" w:color="auto" w:fill="FFFFFF"/>
          </w:tcPr>
          <w:p w:rsidR="004B2669" w:rsidRPr="002925AE" w:rsidRDefault="004B2669" w:rsidP="004B2669">
            <w:pPr>
              <w:spacing w:line="360" w:lineRule="auto"/>
              <w:rPr>
                <w:rFonts w:hAnsi="Times New Roman" w:cs="Times New Roman"/>
                <w:sz w:val="20"/>
                <w:szCs w:val="20"/>
                <w:lang w:val="en-NZ"/>
              </w:rPr>
            </w:pP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 xml:space="preserve">Christian </w:t>
            </w:r>
          </w:p>
        </w:tc>
        <w:tc>
          <w:tcPr>
            <w:tcW w:w="709" w:type="dxa"/>
            <w:tcBorders>
              <w:top w:val="single" w:sz="4" w:space="0" w:color="BFBFBF"/>
              <w:left w:val="single" w:sz="4" w:space="0" w:color="BFBFBF"/>
              <w:bottom w:val="single" w:sz="4" w:space="0" w:color="BFBFBF"/>
              <w:right w:val="single" w:sz="4" w:space="0" w:color="BFBFBF"/>
            </w:tcBorders>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 xml:space="preserve">Islam </w:t>
            </w:r>
          </w:p>
        </w:tc>
        <w:tc>
          <w:tcPr>
            <w:tcW w:w="1129" w:type="dxa"/>
            <w:tcBorders>
              <w:top w:val="single" w:sz="4" w:space="0" w:color="BFBFBF"/>
              <w:left w:val="single" w:sz="4" w:space="0" w:color="BFBFBF"/>
              <w:bottom w:val="single" w:sz="4" w:space="0" w:color="BFBFBF"/>
              <w:right w:val="single" w:sz="4" w:space="0" w:color="BFBFBF"/>
            </w:tcBorders>
          </w:tcPr>
          <w:p w:rsidR="004B2669" w:rsidRPr="002925AE" w:rsidRDefault="004B2669" w:rsidP="004B2669">
            <w:pPr>
              <w:spacing w:after="120" w:line="360" w:lineRule="auto"/>
              <w:rPr>
                <w:rFonts w:hAnsi="Times New Roman" w:cs="Times New Roman"/>
                <w:bCs/>
                <w:sz w:val="20"/>
                <w:szCs w:val="20"/>
                <w:lang w:val="en-NZ"/>
              </w:rPr>
            </w:pPr>
            <w:r w:rsidRPr="002925AE">
              <w:rPr>
                <w:rFonts w:hAnsi="Times New Roman" w:cs="Times New Roman"/>
                <w:b/>
                <w:bCs/>
                <w:sz w:val="20"/>
                <w:szCs w:val="20"/>
                <w:lang w:val="en-NZ"/>
              </w:rPr>
              <w:t>Buddhist</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Other faith*</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Europe (incl. UK)</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Pr>
                <w:rFonts w:hAnsi="Times New Roman" w:cs="Times New Roman"/>
                <w:b/>
                <w:bCs/>
                <w:sz w:val="20"/>
                <w:szCs w:val="20"/>
                <w:lang w:val="en-NZ"/>
              </w:rPr>
              <w:t xml:space="preserve">Asia/ </w:t>
            </w:r>
            <w:r w:rsidRPr="002925AE">
              <w:rPr>
                <w:rFonts w:hAnsi="Times New Roman" w:cs="Times New Roman"/>
                <w:b/>
                <w:bCs/>
                <w:sz w:val="20"/>
                <w:szCs w:val="20"/>
                <w:lang w:val="en-NZ"/>
              </w:rPr>
              <w:t>Oceania</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b/>
                <w:bCs/>
                <w:sz w:val="20"/>
                <w:szCs w:val="20"/>
                <w:lang w:val="en-NZ"/>
              </w:rPr>
            </w:pPr>
            <w:r w:rsidRPr="002925AE">
              <w:rPr>
                <w:rFonts w:hAnsi="Times New Roman" w:cs="Times New Roman"/>
                <w:b/>
                <w:bCs/>
                <w:sz w:val="20"/>
                <w:szCs w:val="20"/>
                <w:lang w:val="en-NZ"/>
              </w:rPr>
              <w:t>The Americas</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Africa/ Middle East</w:t>
            </w:r>
          </w:p>
        </w:tc>
      </w:tr>
      <w:tr w:rsidR="004B2669" w:rsidRPr="002925AE" w:rsidTr="004B2669">
        <w:trPr>
          <w:trHeight w:val="643"/>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i/>
                <w:iCs/>
                <w:sz w:val="20"/>
                <w:szCs w:val="20"/>
                <w:lang w:val="en-NZ"/>
              </w:rPr>
              <w:t>BC-100AD</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6</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4</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5</w:t>
            </w:r>
          </w:p>
        </w:tc>
      </w:tr>
      <w:tr w:rsidR="004B2669" w:rsidRPr="002925AE" w:rsidTr="004B2669">
        <w:trPr>
          <w:trHeight w:val="643"/>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i/>
                <w:iCs/>
                <w:sz w:val="20"/>
                <w:szCs w:val="20"/>
                <w:lang w:val="en-NZ"/>
              </w:rPr>
              <w:t>100AD-1500AD</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14</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11</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tabs>
                <w:tab w:val="left" w:pos="420"/>
                <w:tab w:val="center" w:pos="515"/>
              </w:tabs>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3</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10</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3</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r>
      <w:tr w:rsidR="004B2669" w:rsidRPr="002925AE" w:rsidTr="004B2669">
        <w:trPr>
          <w:trHeight w:val="643"/>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i/>
                <w:iCs/>
                <w:sz w:val="20"/>
                <w:szCs w:val="20"/>
                <w:lang w:val="en-NZ"/>
              </w:rPr>
              <w:t>1500AD-1800AD</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14</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12</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9</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4</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w:t>
            </w:r>
          </w:p>
        </w:tc>
      </w:tr>
      <w:tr w:rsidR="004B2669" w:rsidRPr="002925AE" w:rsidTr="004B2669">
        <w:trPr>
          <w:trHeight w:val="643"/>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i/>
                <w:iCs/>
                <w:sz w:val="20"/>
                <w:szCs w:val="20"/>
                <w:lang w:val="en-NZ"/>
              </w:rPr>
              <w:t>19</w:t>
            </w:r>
            <w:r w:rsidRPr="002925AE">
              <w:rPr>
                <w:rFonts w:hAnsi="Times New Roman" w:cs="Times New Roman"/>
                <w:i/>
                <w:iCs/>
                <w:sz w:val="20"/>
                <w:szCs w:val="20"/>
                <w:vertAlign w:val="superscript"/>
                <w:lang w:val="en-NZ"/>
              </w:rPr>
              <w:t>th</w:t>
            </w:r>
            <w:r w:rsidRPr="002925AE">
              <w:rPr>
                <w:rFonts w:hAnsi="Times New Roman" w:cs="Times New Roman"/>
                <w:i/>
                <w:iCs/>
                <w:sz w:val="20"/>
                <w:szCs w:val="20"/>
                <w:lang w:val="en-NZ"/>
              </w:rPr>
              <w:t xml:space="preserve"> Century</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11</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7</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2</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2</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3</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6</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1</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w:t>
            </w:r>
          </w:p>
        </w:tc>
      </w:tr>
      <w:tr w:rsidR="004B2669" w:rsidRPr="002925AE" w:rsidTr="004B2669">
        <w:trPr>
          <w:trHeight w:val="643"/>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i/>
                <w:iCs/>
                <w:sz w:val="20"/>
                <w:szCs w:val="20"/>
                <w:lang w:val="en-NZ"/>
              </w:rPr>
              <w:t>20</w:t>
            </w:r>
            <w:r w:rsidRPr="002925AE">
              <w:rPr>
                <w:rFonts w:hAnsi="Times New Roman" w:cs="Times New Roman"/>
                <w:i/>
                <w:iCs/>
                <w:sz w:val="20"/>
                <w:szCs w:val="20"/>
                <w:vertAlign w:val="superscript"/>
                <w:lang w:val="en-NZ"/>
              </w:rPr>
              <w:t>th</w:t>
            </w:r>
            <w:r w:rsidRPr="002925AE">
              <w:rPr>
                <w:rFonts w:hAnsi="Times New Roman" w:cs="Times New Roman"/>
                <w:i/>
                <w:iCs/>
                <w:sz w:val="20"/>
                <w:szCs w:val="20"/>
                <w:lang w:val="en-NZ"/>
              </w:rPr>
              <w:t xml:space="preserve"> Century</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19</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14</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3</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sidRPr="002925AE">
              <w:rPr>
                <w:rFonts w:hAnsi="Times New Roman" w:cs="Times New Roman"/>
                <w:sz w:val="20"/>
                <w:szCs w:val="20"/>
                <w:lang w:val="en-NZ"/>
              </w:rPr>
              <w:t>-</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2</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5</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7</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5</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sz w:val="20"/>
                <w:szCs w:val="20"/>
                <w:lang w:val="en-NZ"/>
              </w:rPr>
              <w:t>2</w:t>
            </w:r>
          </w:p>
        </w:tc>
      </w:tr>
      <w:tr w:rsidR="004B2669" w:rsidRPr="002925AE" w:rsidTr="004B2669">
        <w:trPr>
          <w:trHeight w:val="300"/>
          <w:jc w:val="center"/>
        </w:trPr>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4B2669" w:rsidRPr="002925AE" w:rsidRDefault="004B2669" w:rsidP="004B2669">
            <w:pPr>
              <w:spacing w:after="120" w:line="360" w:lineRule="auto"/>
              <w:rPr>
                <w:rFonts w:hAnsi="Times New Roman" w:cs="Times New Roman"/>
                <w:sz w:val="20"/>
                <w:szCs w:val="20"/>
                <w:lang w:val="en-NZ"/>
              </w:rPr>
            </w:pPr>
            <w:r w:rsidRPr="002925AE">
              <w:rPr>
                <w:rFonts w:hAnsi="Times New Roman" w:cs="Times New Roman"/>
                <w:b/>
                <w:bCs/>
                <w:sz w:val="20"/>
                <w:szCs w:val="20"/>
                <w:lang w:val="en-NZ"/>
              </w:rPr>
              <w:t>TOTAL</w:t>
            </w:r>
          </w:p>
        </w:tc>
        <w:tc>
          <w:tcPr>
            <w:tcW w:w="709" w:type="dxa"/>
            <w:tcBorders>
              <w:top w:val="single" w:sz="4" w:space="0" w:color="BFBFBF"/>
              <w:left w:val="single" w:sz="4" w:space="0" w:color="BFBFBF"/>
              <w:bottom w:val="single" w:sz="4" w:space="0" w:color="BFBFBF"/>
              <w:right w:val="doub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64</w:t>
            </w:r>
          </w:p>
        </w:tc>
        <w:tc>
          <w:tcPr>
            <w:tcW w:w="992"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44</w:t>
            </w:r>
          </w:p>
        </w:tc>
        <w:tc>
          <w:tcPr>
            <w:tcW w:w="70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7</w:t>
            </w:r>
          </w:p>
        </w:tc>
        <w:tc>
          <w:tcPr>
            <w:tcW w:w="1129" w:type="dxa"/>
            <w:tcBorders>
              <w:top w:val="single" w:sz="4" w:space="0" w:color="BFBFBF"/>
              <w:left w:val="single" w:sz="4" w:space="0" w:color="BFBFBF"/>
              <w:bottom w:val="single" w:sz="4" w:space="0" w:color="BFBFBF"/>
              <w:right w:val="single" w:sz="4" w:space="0" w:color="BFBFBF"/>
            </w:tcBorders>
            <w:vAlign w:val="center"/>
          </w:tcPr>
          <w:p w:rsidR="004B2669" w:rsidRPr="002925AE" w:rsidRDefault="004B2669" w:rsidP="004B2669">
            <w:pPr>
              <w:spacing w:after="120" w:line="360" w:lineRule="auto"/>
              <w:jc w:val="center"/>
              <w:rPr>
                <w:rFonts w:hAnsi="Times New Roman" w:cs="Times New Roman"/>
                <w:b/>
                <w:bCs/>
                <w:sz w:val="20"/>
                <w:szCs w:val="20"/>
                <w:lang w:val="en-NZ"/>
              </w:rPr>
            </w:pPr>
            <w:r w:rsidRPr="002925AE">
              <w:rPr>
                <w:rFonts w:hAnsi="Times New Roman" w:cs="Times New Roman"/>
                <w:b/>
                <w:bCs/>
                <w:sz w:val="20"/>
                <w:szCs w:val="20"/>
                <w:lang w:val="en-NZ"/>
              </w:rPr>
              <w:t>6</w:t>
            </w:r>
          </w:p>
        </w:tc>
        <w:tc>
          <w:tcPr>
            <w:tcW w:w="71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7</w:t>
            </w:r>
          </w:p>
        </w:tc>
        <w:tc>
          <w:tcPr>
            <w:tcW w:w="850" w:type="dxa"/>
            <w:tcBorders>
              <w:top w:val="single" w:sz="4" w:space="0" w:color="BFBFBF"/>
              <w:left w:val="doub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27</w:t>
            </w:r>
          </w:p>
        </w:tc>
        <w:tc>
          <w:tcPr>
            <w:tcW w:w="993"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18</w:t>
            </w:r>
          </w:p>
        </w:tc>
        <w:tc>
          <w:tcPr>
            <w:tcW w:w="9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10</w:t>
            </w:r>
          </w:p>
        </w:tc>
        <w:tc>
          <w:tcPr>
            <w:tcW w:w="993" w:type="dxa"/>
            <w:tcBorders>
              <w:top w:val="single" w:sz="4" w:space="0" w:color="BFBFBF"/>
              <w:left w:val="single" w:sz="4" w:space="0" w:color="BFBFBF"/>
              <w:bottom w:val="single" w:sz="4" w:space="0" w:color="BFBFBF"/>
              <w:right w:val="double" w:sz="4" w:space="0" w:color="BFBFBF"/>
            </w:tcBorders>
            <w:shd w:val="clear" w:color="auto" w:fill="auto"/>
            <w:tcMar>
              <w:top w:w="80" w:type="dxa"/>
              <w:left w:w="80" w:type="dxa"/>
              <w:bottom w:w="80" w:type="dxa"/>
              <w:right w:w="80" w:type="dxa"/>
            </w:tcMar>
            <w:vAlign w:val="center"/>
          </w:tcPr>
          <w:p w:rsidR="004B2669" w:rsidRPr="002925AE" w:rsidRDefault="004B2669" w:rsidP="004B2669">
            <w:pPr>
              <w:spacing w:after="120" w:line="360" w:lineRule="auto"/>
              <w:jc w:val="center"/>
              <w:rPr>
                <w:rFonts w:hAnsi="Times New Roman" w:cs="Times New Roman"/>
                <w:sz w:val="20"/>
                <w:szCs w:val="20"/>
                <w:lang w:val="en-NZ"/>
              </w:rPr>
            </w:pPr>
            <w:r>
              <w:rPr>
                <w:rFonts w:hAnsi="Times New Roman" w:cs="Times New Roman"/>
                <w:b/>
                <w:bCs/>
                <w:sz w:val="20"/>
                <w:szCs w:val="20"/>
                <w:lang w:val="en-NZ"/>
              </w:rPr>
              <w:t>9</w:t>
            </w:r>
          </w:p>
        </w:tc>
      </w:tr>
    </w:tbl>
    <w:p w:rsidR="00366B6D" w:rsidRPr="007D3040" w:rsidRDefault="000D1A57" w:rsidP="007D3040">
      <w:pPr>
        <w:spacing w:before="120" w:after="120" w:line="360" w:lineRule="auto"/>
        <w:rPr>
          <w:lang w:val="en-NZ"/>
        </w:rPr>
      </w:pPr>
      <w:r w:rsidRPr="007D3040">
        <w:rPr>
          <w:b/>
          <w:bCs/>
          <w:lang w:val="en-NZ"/>
        </w:rPr>
        <w:t xml:space="preserve">* </w:t>
      </w:r>
      <w:r w:rsidRPr="007D3040">
        <w:rPr>
          <w:lang w:val="en-NZ"/>
        </w:rPr>
        <w:t>These included Egyptian funerary rites (Ezzamel, 2005, 2009), Judaism (</w:t>
      </w:r>
      <w:r w:rsidR="00C661C6">
        <w:rPr>
          <w:lang w:val="en-NZ"/>
        </w:rPr>
        <w:t xml:space="preserve">Fisher and Goldschmidt, 1990; Mandel, 2002; </w:t>
      </w:r>
      <w:r w:rsidR="00C661C6" w:rsidRPr="007D3040">
        <w:rPr>
          <w:lang w:val="en-NZ"/>
        </w:rPr>
        <w:t>Fonfeder et al., 2003</w:t>
      </w:r>
      <w:r w:rsidR="00C661C6">
        <w:rPr>
          <w:lang w:val="en-NZ"/>
        </w:rPr>
        <w:t xml:space="preserve">; </w:t>
      </w:r>
      <w:r w:rsidRPr="007D3040">
        <w:rPr>
          <w:lang w:val="en-NZ"/>
        </w:rPr>
        <w:t>Barlev, 2006) and Inca (Urton, 2009).</w:t>
      </w:r>
    </w:p>
    <w:p w:rsidR="00366B6D" w:rsidRPr="002925AE" w:rsidRDefault="00366B6D" w:rsidP="007D3040">
      <w:pPr>
        <w:tabs>
          <w:tab w:val="left" w:pos="1414"/>
        </w:tabs>
        <w:spacing w:after="120" w:line="360" w:lineRule="auto"/>
        <w:rPr>
          <w:rFonts w:hAnsi="Times New Roman" w:cs="Times New Roman"/>
          <w:lang w:val="en-NZ"/>
        </w:rPr>
      </w:pPr>
    </w:p>
    <w:p w:rsidR="00366B6D" w:rsidRPr="002925AE" w:rsidRDefault="000D1A57" w:rsidP="007D3040">
      <w:pPr>
        <w:tabs>
          <w:tab w:val="left" w:pos="1414"/>
        </w:tabs>
        <w:spacing w:after="120" w:line="360" w:lineRule="auto"/>
        <w:rPr>
          <w:rFonts w:hAnsi="Times New Roman" w:cs="Times New Roman"/>
          <w:lang w:val="en-NZ"/>
        </w:rPr>
      </w:pPr>
      <w:r w:rsidRPr="002925AE">
        <w:rPr>
          <w:rFonts w:hAnsi="Times New Roman" w:cs="Times New Roman"/>
          <w:lang w:val="en-NZ"/>
        </w:rPr>
        <w:t xml:space="preserve">The themes and theoretical frameworks of these contributions are now explored, beginning with antecedents (which are mainly narrative). The narrative turn in research on accounting and religion “has been the cornerstone of historical writing since the very beginnings of recorded history” (Parker, 1999: 21). While not explicitly theorised themselves, </w:t>
      </w:r>
      <w:r w:rsidR="000A15E4">
        <w:rPr>
          <w:rFonts w:hAnsi="Times New Roman" w:cs="Times New Roman"/>
          <w:lang w:val="en-NZ"/>
        </w:rPr>
        <w:t xml:space="preserve">they are implicitly informed with an economic rationality where accounting makes visible economic activities (e.g. </w:t>
      </w:r>
      <w:r w:rsidR="000A15E4" w:rsidRPr="002925AE">
        <w:rPr>
          <w:rFonts w:hAnsi="Times New Roman" w:cs="Times New Roman"/>
          <w:lang w:val="en-NZ"/>
        </w:rPr>
        <w:t>Prieto, Maté and Tua</w:t>
      </w:r>
      <w:r w:rsidR="000A15E4">
        <w:rPr>
          <w:rFonts w:hAnsi="Times New Roman" w:cs="Times New Roman"/>
          <w:lang w:val="en-NZ"/>
        </w:rPr>
        <w:t>,</w:t>
      </w:r>
      <w:r w:rsidR="000A15E4" w:rsidRPr="002925AE">
        <w:rPr>
          <w:rFonts w:hAnsi="Times New Roman" w:cs="Times New Roman"/>
          <w:lang w:val="en-NZ"/>
        </w:rPr>
        <w:t xml:space="preserve"> 2006</w:t>
      </w:r>
      <w:r w:rsidR="000A15E4">
        <w:rPr>
          <w:rFonts w:hAnsi="Times New Roman" w:cs="Times New Roman"/>
          <w:lang w:val="en-NZ"/>
        </w:rPr>
        <w:t xml:space="preserve">, </w:t>
      </w:r>
      <w:r w:rsidR="000A15E4" w:rsidRPr="002925AE">
        <w:rPr>
          <w:rFonts w:hAnsi="Times New Roman" w:cs="Times New Roman"/>
          <w:lang w:val="en-NZ"/>
        </w:rPr>
        <w:t xml:space="preserve">(Alvarez-Dardet Espejo, Lopez Manjon, </w:t>
      </w:r>
      <w:r w:rsidR="000A15E4">
        <w:rPr>
          <w:rFonts w:hAnsi="Times New Roman" w:cs="Times New Roman"/>
          <w:lang w:val="en-NZ"/>
        </w:rPr>
        <w:t>&amp; Baños-Sánchez Matamoros, 2006</w:t>
      </w:r>
      <w:r w:rsidR="000A15E4" w:rsidRPr="002925AE">
        <w:rPr>
          <w:rFonts w:hAnsi="Times New Roman" w:cs="Times New Roman"/>
          <w:lang w:val="en-NZ"/>
        </w:rPr>
        <w:t>)</w:t>
      </w:r>
      <w:r w:rsidR="000A15E4">
        <w:rPr>
          <w:rFonts w:hAnsi="Times New Roman" w:cs="Times New Roman"/>
          <w:lang w:val="en-NZ"/>
        </w:rPr>
        <w:t>. S</w:t>
      </w:r>
      <w:r w:rsidRPr="002925AE">
        <w:rPr>
          <w:rFonts w:hAnsi="Times New Roman" w:cs="Times New Roman"/>
          <w:lang w:val="en-NZ"/>
        </w:rPr>
        <w:t xml:space="preserve">uch narratives provide an invaluable base for reflection and insights to the relationship </w:t>
      </w:r>
      <w:r w:rsidRPr="002925AE">
        <w:rPr>
          <w:rFonts w:hAnsi="Times New Roman" w:cs="Times New Roman"/>
          <w:lang w:val="en-NZ"/>
        </w:rPr>
        <w:lastRenderedPageBreak/>
        <w:t>between accounting and religion. The publications analysed in this section are presented in time period</w:t>
      </w:r>
      <w:r w:rsidR="00A55728">
        <w:rPr>
          <w:rFonts w:hAnsi="Times New Roman" w:cs="Times New Roman"/>
          <w:lang w:val="en-NZ"/>
        </w:rPr>
        <w:t xml:space="preserve"> and region</w:t>
      </w:r>
      <w:r w:rsidRPr="002925AE">
        <w:rPr>
          <w:rFonts w:hAnsi="Times New Roman" w:cs="Times New Roman"/>
          <w:lang w:val="en-NZ"/>
        </w:rPr>
        <w:t xml:space="preserve"> order.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Ezzamel’s (2005, 2009) studies into Egyptian funerary temples </w:t>
      </w:r>
      <w:r w:rsidR="00A55728" w:rsidRPr="002925AE">
        <w:rPr>
          <w:rFonts w:hAnsi="Times New Roman" w:cs="Times New Roman"/>
          <w:lang w:val="en-NZ"/>
        </w:rPr>
        <w:t xml:space="preserve">(1552-1080 BC) </w:t>
      </w:r>
      <w:r w:rsidRPr="002925AE">
        <w:rPr>
          <w:rFonts w:hAnsi="Times New Roman" w:cs="Times New Roman"/>
          <w:lang w:val="en-NZ"/>
        </w:rPr>
        <w:t>are examples of the early need to count and account in religious organisations. He notes that “the genesis of counting seems to be inseparable from accounting” (Ezzamel, 2009: 358). In particular, Ezzamel (2009) provide</w:t>
      </w:r>
      <w:r w:rsidR="00A55728">
        <w:rPr>
          <w:rFonts w:hAnsi="Times New Roman" w:cs="Times New Roman"/>
          <w:lang w:val="en-NZ"/>
        </w:rPr>
        <w:t>s</w:t>
      </w:r>
      <w:r w:rsidRPr="002925AE">
        <w:rPr>
          <w:rFonts w:hAnsi="Times New Roman" w:cs="Times New Roman"/>
          <w:lang w:val="en-NZ"/>
        </w:rPr>
        <w:t xml:space="preserve"> examples of Pharaohs’ inscriptions of their offerings, which enabled the Pharaohs to be immortalised and also discharge a three-fold accountability to the gods, themselves and their subjects. The temple and its rituals also imposed order into daily life (Ezzamel, 2005, 2009); thus the moulding of a social understanding of ‘appropriate’ practice of accounting and accountability can be observed. </w:t>
      </w:r>
    </w:p>
    <w:p w:rsidR="003C5209" w:rsidRDefault="000D1A57" w:rsidP="007D3040">
      <w:pPr>
        <w:spacing w:after="120" w:line="360" w:lineRule="auto"/>
        <w:ind w:firstLine="720"/>
        <w:rPr>
          <w:rFonts w:hAnsi="Times New Roman" w:cs="Times New Roman"/>
          <w:lang w:val="en-NZ"/>
        </w:rPr>
      </w:pPr>
      <w:r w:rsidRPr="002925AE">
        <w:rPr>
          <w:rFonts w:hAnsi="Times New Roman" w:cs="Times New Roman"/>
          <w:lang w:val="en-NZ"/>
        </w:rPr>
        <w:t>Gao and Handley-Schachler (2003) trace the cultural impacts on accounting in China from around 221BC to the present day. For them, Confucianism “forms the basis of the Chinese dogmatic and conservative attitudes, which have also influenced the development of Chinese bookkeeping and accounting practice … [and] prevented Chinese accounting from measuring and disclosing profits and loss” (Gao &amp; Handley-Schachler, 2003: 55). Thus, they argue, Confucianism played a negative role in the development of Chinese accounting for private entities</w:t>
      </w:r>
      <w:r w:rsidR="0070092E">
        <w:rPr>
          <w:rFonts w:hAnsi="Times New Roman" w:cs="Times New Roman"/>
          <w:lang w:val="en-NZ"/>
        </w:rPr>
        <w:t xml:space="preserve"> with </w:t>
      </w:r>
      <w:r w:rsidRPr="002925AE">
        <w:rPr>
          <w:rFonts w:hAnsi="Times New Roman" w:cs="Times New Roman"/>
          <w:lang w:val="en-NZ"/>
        </w:rPr>
        <w:t xml:space="preserve">Buddhism and Taoism also </w:t>
      </w:r>
      <w:r w:rsidR="0070092E">
        <w:rPr>
          <w:rFonts w:hAnsi="Times New Roman" w:cs="Times New Roman"/>
          <w:lang w:val="en-NZ"/>
        </w:rPr>
        <w:t xml:space="preserve">being </w:t>
      </w:r>
      <w:r w:rsidRPr="002925AE">
        <w:rPr>
          <w:rFonts w:hAnsi="Times New Roman" w:cs="Times New Roman"/>
          <w:lang w:val="en-NZ"/>
        </w:rPr>
        <w:t>influential (although they provide no specific examples) (Gao &amp; Handley-Schachler, 2003).</w:t>
      </w:r>
      <w:r w:rsidRPr="002925AE">
        <w:rPr>
          <w:rFonts w:hAnsi="Times New Roman" w:cs="Times New Roman"/>
          <w:vertAlign w:val="superscript"/>
          <w:lang w:val="en-NZ"/>
        </w:rPr>
        <w:endnoteReference w:id="4"/>
      </w:r>
      <w:r w:rsidRPr="002925AE">
        <w:rPr>
          <w:rFonts w:hAnsi="Times New Roman" w:cs="Times New Roman"/>
          <w:lang w:val="en-NZ"/>
        </w:rPr>
        <w:t xml:space="preserve"> Wissler (2013) is less supportive of this argument.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In her PhD thesis, H</w:t>
      </w:r>
      <w:r w:rsidR="003C5209">
        <w:rPr>
          <w:rFonts w:hAnsi="Times New Roman" w:cs="Times New Roman"/>
          <w:lang w:val="en-NZ"/>
        </w:rPr>
        <w:t>o</w:t>
      </w:r>
      <w:r w:rsidRPr="002925AE">
        <w:rPr>
          <w:rFonts w:hAnsi="Times New Roman" w:cs="Times New Roman"/>
          <w:lang w:val="en-NZ"/>
        </w:rPr>
        <w:t>ng (2014) further explores the development of Buddhist monastic accounting (in China from the fifth to the nin</w:t>
      </w:r>
      <w:r w:rsidR="00A55728">
        <w:rPr>
          <w:rFonts w:hAnsi="Times New Roman" w:cs="Times New Roman"/>
          <w:lang w:val="en-NZ"/>
        </w:rPr>
        <w:t>th</w:t>
      </w:r>
      <w:r w:rsidRPr="002925AE">
        <w:rPr>
          <w:rFonts w:hAnsi="Times New Roman" w:cs="Times New Roman"/>
          <w:lang w:val="en-NZ"/>
        </w:rPr>
        <w:t xml:space="preserve"> century AD), which strengthened monastic discipline, financial management and administration</w:t>
      </w:r>
      <w:r w:rsidR="0070092E">
        <w:rPr>
          <w:rFonts w:hAnsi="Times New Roman" w:cs="Times New Roman"/>
          <w:lang w:val="en-NZ"/>
        </w:rPr>
        <w:t xml:space="preserve"> and enabled</w:t>
      </w:r>
      <w:r w:rsidRPr="002925AE">
        <w:rPr>
          <w:rFonts w:hAnsi="Times New Roman" w:cs="Times New Roman"/>
          <w:lang w:val="en-NZ"/>
        </w:rPr>
        <w:t xml:space="preserve"> accountab</w:t>
      </w:r>
      <w:r w:rsidR="0070092E">
        <w:rPr>
          <w:rFonts w:hAnsi="Times New Roman" w:cs="Times New Roman"/>
          <w:lang w:val="en-NZ"/>
        </w:rPr>
        <w:t xml:space="preserve">ility to be discharged </w:t>
      </w:r>
      <w:r w:rsidR="003C5209">
        <w:rPr>
          <w:rFonts w:hAnsi="Times New Roman" w:cs="Times New Roman"/>
          <w:lang w:val="en-NZ"/>
        </w:rPr>
        <w:t>to government and donors. Ho</w:t>
      </w:r>
      <w:r w:rsidRPr="002925AE">
        <w:rPr>
          <w:rFonts w:hAnsi="Times New Roman" w:cs="Times New Roman"/>
          <w:lang w:val="en-NZ"/>
        </w:rPr>
        <w:t>ng (2</w:t>
      </w:r>
      <w:r w:rsidR="00211CA1">
        <w:rPr>
          <w:rFonts w:hAnsi="Times New Roman" w:cs="Times New Roman"/>
          <w:lang w:val="en-NZ"/>
        </w:rPr>
        <w:t>0</w:t>
      </w:r>
      <w:r w:rsidRPr="002925AE">
        <w:rPr>
          <w:rFonts w:hAnsi="Times New Roman" w:cs="Times New Roman"/>
          <w:lang w:val="en-NZ"/>
        </w:rPr>
        <w:t xml:space="preserve">14) also traces the manner in which Buddhism </w:t>
      </w:r>
      <w:r w:rsidR="00F82080">
        <w:rPr>
          <w:rFonts w:hAnsi="Times New Roman" w:cs="Times New Roman"/>
          <w:lang w:val="en-NZ"/>
        </w:rPr>
        <w:t>contributed to changing</w:t>
      </w:r>
      <w:r w:rsidRPr="002925AE">
        <w:rPr>
          <w:rFonts w:hAnsi="Times New Roman" w:cs="Times New Roman"/>
          <w:lang w:val="en-NZ"/>
        </w:rPr>
        <w:t xml:space="preserve"> the Confucian system</w:t>
      </w:r>
      <w:r w:rsidR="00F82080">
        <w:rPr>
          <w:rFonts w:hAnsi="Times New Roman" w:cs="Times New Roman"/>
          <w:lang w:val="en-NZ"/>
        </w:rPr>
        <w:t>. Previously,</w:t>
      </w:r>
      <w:r w:rsidRPr="002925AE">
        <w:rPr>
          <w:rFonts w:hAnsi="Times New Roman" w:cs="Times New Roman"/>
          <w:lang w:val="en-NZ"/>
        </w:rPr>
        <w:t xml:space="preserve"> the emperor was the ultimate landowner</w:t>
      </w:r>
      <w:r w:rsidR="0070092E">
        <w:rPr>
          <w:rFonts w:hAnsi="Times New Roman" w:cs="Times New Roman"/>
          <w:lang w:val="en-NZ"/>
        </w:rPr>
        <w:t xml:space="preserve"> and rented it</w:t>
      </w:r>
      <w:r w:rsidRPr="002925AE">
        <w:rPr>
          <w:rFonts w:hAnsi="Times New Roman" w:cs="Times New Roman"/>
          <w:lang w:val="en-NZ"/>
        </w:rPr>
        <w:t xml:space="preserve"> </w:t>
      </w:r>
      <w:r w:rsidR="00211CA1">
        <w:rPr>
          <w:rFonts w:hAnsi="Times New Roman" w:cs="Times New Roman"/>
          <w:lang w:val="en-NZ"/>
        </w:rPr>
        <w:t xml:space="preserve">to </w:t>
      </w:r>
      <w:r w:rsidRPr="002925AE">
        <w:rPr>
          <w:rFonts w:hAnsi="Times New Roman" w:cs="Times New Roman"/>
          <w:lang w:val="en-NZ"/>
        </w:rPr>
        <w:t xml:space="preserve">individuals. </w:t>
      </w:r>
      <w:r w:rsidR="00F82080">
        <w:rPr>
          <w:rFonts w:hAnsi="Times New Roman" w:cs="Times New Roman"/>
          <w:lang w:val="en-NZ"/>
        </w:rPr>
        <w:t xml:space="preserve">Nevertheless, </w:t>
      </w:r>
      <w:r w:rsidRPr="002925AE">
        <w:rPr>
          <w:rFonts w:hAnsi="Times New Roman" w:cs="Times New Roman"/>
          <w:lang w:val="en-NZ"/>
        </w:rPr>
        <w:t>Buddhist monasteries acquired land, cleared it and received donations (some in repayment of debts)</w:t>
      </w:r>
      <w:r w:rsidR="00211CA1">
        <w:rPr>
          <w:rFonts w:hAnsi="Times New Roman" w:cs="Times New Roman"/>
          <w:lang w:val="en-NZ"/>
        </w:rPr>
        <w:t xml:space="preserve"> (Ornatowkski, 1996)</w:t>
      </w:r>
      <w:r w:rsidRPr="002925AE">
        <w:rPr>
          <w:rFonts w:hAnsi="Times New Roman" w:cs="Times New Roman"/>
          <w:lang w:val="en-NZ"/>
        </w:rPr>
        <w:t xml:space="preserve">. By 780 AD, the Chinese government </w:t>
      </w:r>
      <w:r w:rsidR="00C661C6">
        <w:rPr>
          <w:rFonts w:hAnsi="Times New Roman" w:cs="Times New Roman"/>
          <w:lang w:val="en-NZ"/>
        </w:rPr>
        <w:t>acknowledged</w:t>
      </w:r>
      <w:r w:rsidRPr="002925AE">
        <w:rPr>
          <w:rFonts w:hAnsi="Times New Roman" w:cs="Times New Roman"/>
          <w:lang w:val="en-NZ"/>
        </w:rPr>
        <w:t xml:space="preserve"> </w:t>
      </w:r>
      <w:r w:rsidR="0070092E">
        <w:rPr>
          <w:rFonts w:hAnsi="Times New Roman" w:cs="Times New Roman"/>
          <w:lang w:val="en-NZ"/>
        </w:rPr>
        <w:t>increased</w:t>
      </w:r>
      <w:r w:rsidRPr="002925AE">
        <w:rPr>
          <w:rFonts w:hAnsi="Times New Roman" w:cs="Times New Roman"/>
          <w:lang w:val="en-NZ"/>
        </w:rPr>
        <w:t xml:space="preserve"> individual ownership of land</w:t>
      </w:r>
      <w:r w:rsidR="0070092E">
        <w:rPr>
          <w:rFonts w:hAnsi="Times New Roman" w:cs="Times New Roman"/>
          <w:lang w:val="en-NZ"/>
        </w:rPr>
        <w:t>, imposing</w:t>
      </w:r>
      <w:r w:rsidRPr="002925AE">
        <w:rPr>
          <w:rFonts w:hAnsi="Times New Roman" w:cs="Times New Roman"/>
          <w:lang w:val="en-NZ"/>
        </w:rPr>
        <w:t xml:space="preserve"> taxes on the monasteries and other landowners. H</w:t>
      </w:r>
      <w:r w:rsidR="00211CA1">
        <w:rPr>
          <w:rFonts w:hAnsi="Times New Roman" w:cs="Times New Roman"/>
          <w:lang w:val="en-NZ"/>
        </w:rPr>
        <w:t>o</w:t>
      </w:r>
      <w:r w:rsidRPr="002925AE">
        <w:rPr>
          <w:rFonts w:hAnsi="Times New Roman" w:cs="Times New Roman"/>
          <w:lang w:val="en-NZ"/>
        </w:rPr>
        <w:t xml:space="preserve">ng (2014) </w:t>
      </w:r>
      <w:r w:rsidR="004360B7">
        <w:rPr>
          <w:rFonts w:hAnsi="Times New Roman" w:cs="Times New Roman"/>
          <w:lang w:val="en-NZ"/>
        </w:rPr>
        <w:t>provides evidence that</w:t>
      </w:r>
      <w:r w:rsidRPr="002925AE">
        <w:rPr>
          <w:rFonts w:hAnsi="Times New Roman" w:cs="Times New Roman"/>
          <w:lang w:val="en-NZ"/>
        </w:rPr>
        <w:t xml:space="preserve"> monasteries' accounting for land, taxes and other activities (derived from Buddhism's Indian roots and part of the </w:t>
      </w:r>
      <w:r w:rsidRPr="002925AE">
        <w:rPr>
          <w:rFonts w:hAnsi="Times New Roman" w:cs="Times New Roman"/>
          <w:i/>
          <w:iCs/>
          <w:lang w:val="en-NZ"/>
        </w:rPr>
        <w:t>vinaya</w:t>
      </w:r>
      <w:r w:rsidRPr="002925AE">
        <w:rPr>
          <w:rFonts w:hAnsi="Times New Roman" w:cs="Times New Roman"/>
          <w:lang w:val="en-NZ"/>
        </w:rPr>
        <w:t>, or monast</w:t>
      </w:r>
      <w:r w:rsidR="00211CA1">
        <w:rPr>
          <w:rFonts w:hAnsi="Times New Roman" w:cs="Times New Roman"/>
          <w:lang w:val="en-NZ"/>
        </w:rPr>
        <w:t>ic</w:t>
      </w:r>
      <w:r w:rsidRPr="002925AE">
        <w:rPr>
          <w:rFonts w:hAnsi="Times New Roman" w:cs="Times New Roman"/>
          <w:lang w:val="en-NZ"/>
        </w:rPr>
        <w:t xml:space="preserve"> law), introduced the entity concept to Chinese society.</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lastRenderedPageBreak/>
        <w:t xml:space="preserve">From </w:t>
      </w:r>
      <w:r w:rsidR="00A55728">
        <w:rPr>
          <w:rFonts w:hAnsi="Times New Roman" w:cs="Times New Roman"/>
          <w:lang w:val="en-NZ"/>
        </w:rPr>
        <w:t>Sri Lanka</w:t>
      </w:r>
      <w:r w:rsidRPr="002925AE">
        <w:rPr>
          <w:rFonts w:hAnsi="Times New Roman" w:cs="Times New Roman"/>
          <w:lang w:val="en-NZ"/>
        </w:rPr>
        <w:t xml:space="preserve">, Liyanarachchi (2009) explains </w:t>
      </w:r>
      <w:r w:rsidR="006D2ADC">
        <w:rPr>
          <w:rFonts w:hAnsi="Times New Roman" w:cs="Times New Roman"/>
          <w:lang w:val="en-NZ"/>
        </w:rPr>
        <w:t xml:space="preserve">rock inscriptions that were </w:t>
      </w:r>
      <w:r w:rsidRPr="002925AE">
        <w:rPr>
          <w:rFonts w:hAnsi="Times New Roman" w:cs="Times New Roman"/>
          <w:lang w:val="en-NZ"/>
        </w:rPr>
        <w:t xml:space="preserve">accounting antecedents in Buddhist temples from the ninth and tenth century AD. Wissler (2013), in his analysis of </w:t>
      </w:r>
      <w:r w:rsidR="006D2ADC">
        <w:rPr>
          <w:rFonts w:hAnsi="Times New Roman" w:cs="Times New Roman"/>
          <w:lang w:val="en-NZ"/>
        </w:rPr>
        <w:t xml:space="preserve">later artefacts - </w:t>
      </w:r>
      <w:r w:rsidRPr="002925AE">
        <w:rPr>
          <w:rFonts w:hAnsi="Times New Roman" w:cs="Times New Roman"/>
          <w:lang w:val="en-NZ"/>
        </w:rPr>
        <w:t xml:space="preserve">nineteenth century temple ‘stelae’ (stone tablets) </w:t>
      </w:r>
      <w:r w:rsidR="006D2ADC">
        <w:rPr>
          <w:rFonts w:hAnsi="Times New Roman" w:cs="Times New Roman"/>
          <w:lang w:val="en-NZ"/>
        </w:rPr>
        <w:t xml:space="preserve">- </w:t>
      </w:r>
      <w:r w:rsidRPr="002925AE">
        <w:rPr>
          <w:rFonts w:hAnsi="Times New Roman" w:cs="Times New Roman"/>
          <w:lang w:val="en-NZ"/>
        </w:rPr>
        <w:t xml:space="preserve">furnishes </w:t>
      </w:r>
      <w:r w:rsidR="00C661C6">
        <w:rPr>
          <w:rFonts w:hAnsi="Times New Roman" w:cs="Times New Roman"/>
          <w:lang w:val="en-NZ"/>
        </w:rPr>
        <w:t>further</w:t>
      </w:r>
      <w:r w:rsidRPr="002925AE">
        <w:rPr>
          <w:rFonts w:hAnsi="Times New Roman" w:cs="Times New Roman"/>
          <w:lang w:val="en-NZ"/>
        </w:rPr>
        <w:t xml:space="preserve"> detail of the impact of Buddhism and Taoism (Daoism) on Chinese accounting practice. Wissler’s (2013) organisational study </w:t>
      </w:r>
      <w:r w:rsidR="006D2ADC">
        <w:rPr>
          <w:rFonts w:hAnsi="Times New Roman" w:cs="Times New Roman"/>
          <w:lang w:val="en-NZ"/>
        </w:rPr>
        <w:t>finds</w:t>
      </w:r>
      <w:r w:rsidRPr="002925AE">
        <w:rPr>
          <w:rFonts w:hAnsi="Times New Roman" w:cs="Times New Roman"/>
          <w:lang w:val="en-NZ"/>
        </w:rPr>
        <w:t xml:space="preserve"> the stelae discharged accountability to donors, and that </w:t>
      </w:r>
      <w:r w:rsidR="00C661C6">
        <w:rPr>
          <w:rFonts w:hAnsi="Times New Roman" w:cs="Times New Roman"/>
          <w:lang w:val="en-NZ"/>
        </w:rPr>
        <w:t xml:space="preserve">temple </w:t>
      </w:r>
      <w:r w:rsidRPr="002925AE">
        <w:rPr>
          <w:rFonts w:hAnsi="Times New Roman" w:cs="Times New Roman"/>
          <w:lang w:val="en-NZ"/>
        </w:rPr>
        <w:t xml:space="preserve">practises such as ritual burning symbolised accountability towards the gods. These practices reduced the </w:t>
      </w:r>
      <w:r w:rsidR="00C661C6">
        <w:rPr>
          <w:rFonts w:hAnsi="Times New Roman" w:cs="Times New Roman"/>
          <w:lang w:val="en-NZ"/>
        </w:rPr>
        <w:t>ability</w:t>
      </w:r>
      <w:r w:rsidRPr="002925AE">
        <w:rPr>
          <w:rFonts w:hAnsi="Times New Roman" w:cs="Times New Roman"/>
          <w:lang w:val="en-NZ"/>
        </w:rPr>
        <w:t xml:space="preserve"> to embezzle funds and were important in the development of Chinese accounting (Wissler, 2013).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Similarly, Zaid (2004) argues that accounting was necessary from the earliest days of Muslim society (624AD) in order for traders to calculate the </w:t>
      </w:r>
      <w:r w:rsidRPr="002925AE">
        <w:rPr>
          <w:rFonts w:hAnsi="Times New Roman" w:cs="Times New Roman"/>
          <w:i/>
          <w:iCs/>
          <w:lang w:val="en-NZ"/>
        </w:rPr>
        <w:t>zakat</w:t>
      </w:r>
      <w:r w:rsidRPr="002925AE">
        <w:rPr>
          <w:rFonts w:hAnsi="Times New Roman" w:cs="Times New Roman"/>
          <w:lang w:val="en-NZ"/>
        </w:rPr>
        <w:t>, or religious levy required by the Quran, the Islamic Holy Book. Zaid (2004) also provides a number of other examples of accounting within the Islamic state, which he hypothesises would have influenced early Italian accounting. Quattrone (2004: 675) agrees that early Italian accounting practices were “underpinned by multiple spiritual and religious instances”, which potentially included those from other faiths.</w:t>
      </w:r>
      <w:r w:rsidRPr="002925AE">
        <w:rPr>
          <w:rFonts w:hAnsi="Times New Roman" w:cs="Times New Roman"/>
          <w:vertAlign w:val="superscript"/>
          <w:lang w:val="en-NZ"/>
        </w:rPr>
        <w:endnoteReference w:id="5"/>
      </w:r>
      <w:r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The accountability required through religious confession, as well as accounting for tithes or levies, can also be observed in other antecedent studies, such as from the </w:t>
      </w:r>
      <w:r w:rsidRPr="002925AE">
        <w:rPr>
          <w:rFonts w:hAnsi="Times New Roman" w:cs="Times New Roman"/>
          <w:i/>
          <w:iCs/>
          <w:lang w:val="en-NZ"/>
        </w:rPr>
        <w:t>khipu</w:t>
      </w:r>
      <w:r w:rsidRPr="002925AE">
        <w:rPr>
          <w:rFonts w:hAnsi="Times New Roman" w:cs="Times New Roman"/>
          <w:lang w:val="en-NZ"/>
        </w:rPr>
        <w:t xml:space="preserve"> kept by the Incas (pre-1532). These provided a system of knots that could be tied and untied in a balancing system which is redolent of double-entry (Urton, 2009). </w:t>
      </w:r>
      <w:r w:rsidRPr="002925AE">
        <w:rPr>
          <w:rFonts w:hAnsi="Times New Roman" w:cs="Times New Roman"/>
          <w:i/>
          <w:iCs/>
          <w:lang w:val="en-NZ"/>
        </w:rPr>
        <w:t>Khipu</w:t>
      </w:r>
      <w:r w:rsidRPr="002925AE">
        <w:rPr>
          <w:rFonts w:hAnsi="Times New Roman" w:cs="Times New Roman"/>
          <w:lang w:val="en-NZ"/>
        </w:rPr>
        <w:t xml:space="preserve"> were also used for tallying confessions to society and later to Roman Catholic priests (Urton, 2009)</w:t>
      </w:r>
      <w:r w:rsidR="006D2ADC">
        <w:rPr>
          <w:rFonts w:hAnsi="Times New Roman" w:cs="Times New Roman"/>
          <w:lang w:val="en-NZ"/>
        </w:rPr>
        <w:t>. C</w:t>
      </w:r>
      <w:r w:rsidRPr="002925AE">
        <w:rPr>
          <w:rFonts w:hAnsi="Times New Roman" w:cs="Times New Roman"/>
          <w:lang w:val="en-NZ"/>
        </w:rPr>
        <w:t xml:space="preserve">onfession </w:t>
      </w:r>
      <w:r w:rsidR="006D2ADC">
        <w:rPr>
          <w:rFonts w:hAnsi="Times New Roman" w:cs="Times New Roman"/>
          <w:lang w:val="en-NZ"/>
        </w:rPr>
        <w:t>is</w:t>
      </w:r>
      <w:r w:rsidRPr="002925AE">
        <w:rPr>
          <w:rFonts w:hAnsi="Times New Roman" w:cs="Times New Roman"/>
          <w:lang w:val="en-NZ"/>
        </w:rPr>
        <w:t xml:space="preserve"> firmly rooted in Judaism and Christianty</w:t>
      </w:r>
      <w:r w:rsidR="006D2ADC">
        <w:rPr>
          <w:rFonts w:hAnsi="Times New Roman" w:cs="Times New Roman"/>
          <w:lang w:val="en-NZ"/>
        </w:rPr>
        <w:t>, as</w:t>
      </w:r>
      <w:r w:rsidRPr="002925AE">
        <w:rPr>
          <w:rFonts w:hAnsi="Times New Roman" w:cs="Times New Roman"/>
          <w:lang w:val="en-NZ"/>
        </w:rPr>
        <w:t xml:space="preserve"> evidenced by Quattrone (2004) and Aho (2005). For example, Aho (2005) </w:t>
      </w:r>
      <w:r w:rsidR="00211CA1">
        <w:rPr>
          <w:rFonts w:hAnsi="Times New Roman" w:cs="Times New Roman"/>
          <w:lang w:val="en-NZ"/>
        </w:rPr>
        <w:t>note</w:t>
      </w:r>
      <w:r w:rsidR="006D2ADC">
        <w:rPr>
          <w:rFonts w:hAnsi="Times New Roman" w:cs="Times New Roman"/>
          <w:lang w:val="en-NZ"/>
        </w:rPr>
        <w:t>s</w:t>
      </w:r>
      <w:r w:rsidRPr="002925AE">
        <w:rPr>
          <w:rFonts w:hAnsi="Times New Roman" w:cs="Times New Roman"/>
          <w:lang w:val="en-NZ"/>
        </w:rPr>
        <w:t xml:space="preserve"> laypeople needing to recount their sins “one by one” and the church exacting penance.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The antecedents of double-entry bookkeeping is a perennial topic for debate (Zan, 1994), and is relevant here, given Pacioli’s membership of a religious order. Despite the recognition of Pacioli as the 'father of accounting', Aho (2005) note</w:t>
      </w:r>
      <w:r w:rsidR="006D2ADC">
        <w:rPr>
          <w:rFonts w:hAnsi="Times New Roman" w:cs="Times New Roman"/>
          <w:lang w:val="en-NZ"/>
        </w:rPr>
        <w:t>s</w:t>
      </w:r>
      <w:r w:rsidRPr="002925AE">
        <w:rPr>
          <w:rFonts w:hAnsi="Times New Roman" w:cs="Times New Roman"/>
          <w:lang w:val="en-NZ"/>
        </w:rPr>
        <w:t xml:space="preserve"> that double entry bookkeeping w</w:t>
      </w:r>
      <w:r w:rsidR="00B5314A">
        <w:rPr>
          <w:rFonts w:hAnsi="Times New Roman" w:cs="Times New Roman"/>
          <w:lang w:val="en-NZ"/>
        </w:rPr>
        <w:t>as in use in Tuscany from 1327 [</w:t>
      </w:r>
      <w:r w:rsidRPr="002925AE">
        <w:rPr>
          <w:rFonts w:hAnsi="Times New Roman" w:cs="Times New Roman"/>
          <w:lang w:val="en-NZ"/>
        </w:rPr>
        <w:t xml:space="preserve">in the </w:t>
      </w:r>
      <w:r w:rsidRPr="00B5314A">
        <w:rPr>
          <w:rFonts w:hAnsi="Times New Roman" w:cs="Times New Roman"/>
          <w:i/>
          <w:lang w:val="en-NZ"/>
        </w:rPr>
        <w:t>Massari</w:t>
      </w:r>
      <w:r w:rsidRPr="002925AE">
        <w:rPr>
          <w:rFonts w:hAnsi="Times New Roman" w:cs="Times New Roman"/>
          <w:lang w:val="en-NZ"/>
        </w:rPr>
        <w:t xml:space="preserve"> </w:t>
      </w:r>
      <w:r w:rsidR="00B5314A">
        <w:rPr>
          <w:rFonts w:hAnsi="Times New Roman" w:cs="Times New Roman"/>
          <w:lang w:val="en-NZ"/>
        </w:rPr>
        <w:t>accounts of the city of Genoa (</w:t>
      </w:r>
      <w:r w:rsidR="00B5314A" w:rsidRPr="00B5314A">
        <w:rPr>
          <w:rFonts w:hAnsi="Times New Roman" w:cs="Times New Roman"/>
          <w:i/>
          <w:lang w:val="en-NZ"/>
        </w:rPr>
        <w:t>Massari</w:t>
      </w:r>
      <w:r w:rsidR="00B5314A">
        <w:rPr>
          <w:rFonts w:hAnsi="Times New Roman" w:cs="Times New Roman"/>
          <w:lang w:val="en-NZ"/>
        </w:rPr>
        <w:t xml:space="preserve"> were city treasury officials)]</w:t>
      </w:r>
      <w:r w:rsidRPr="002925AE">
        <w:rPr>
          <w:rFonts w:hAnsi="Times New Roman" w:cs="Times New Roman"/>
          <w:lang w:val="en-NZ"/>
        </w:rPr>
        <w:t xml:space="preserve">, around 150 years before Pacioli’s 1494 treatise. He states that the main reason for double-entry bookkeeping was to show accuracy, with calculations of profit/loss and capital being secondary (Aho, 2005). Bisaschi (2003) provides </w:t>
      </w:r>
      <w:r w:rsidR="00211CA1">
        <w:rPr>
          <w:rFonts w:hAnsi="Times New Roman" w:cs="Times New Roman"/>
          <w:lang w:val="en-NZ"/>
        </w:rPr>
        <w:t>a further</w:t>
      </w:r>
      <w:r w:rsidRPr="002925AE">
        <w:rPr>
          <w:rFonts w:hAnsi="Times New Roman" w:cs="Times New Roman"/>
          <w:lang w:val="en-NZ"/>
        </w:rPr>
        <w:t xml:space="preserve"> example of development towards </w:t>
      </w:r>
      <w:r w:rsidRPr="002925AE">
        <w:rPr>
          <w:rFonts w:hAnsi="Times New Roman" w:cs="Times New Roman"/>
          <w:lang w:val="en-NZ"/>
        </w:rPr>
        <w:lastRenderedPageBreak/>
        <w:t>double-entry in the Venerable Society of the Living and the Dead in Parma (from 1304-1895), as their accounting journals and books increasingly use</w:t>
      </w:r>
      <w:r w:rsidR="00211CA1">
        <w:rPr>
          <w:rFonts w:hAnsi="Times New Roman" w:cs="Times New Roman"/>
          <w:lang w:val="en-NZ"/>
        </w:rPr>
        <w:t>d</w:t>
      </w:r>
      <w:r w:rsidRPr="002925AE">
        <w:rPr>
          <w:rFonts w:hAnsi="Times New Roman" w:cs="Times New Roman"/>
          <w:lang w:val="en-NZ"/>
        </w:rPr>
        <w:t xml:space="preserve"> credits and debits in a tabular system. Double-entry bookkeeping </w:t>
      </w:r>
      <w:r w:rsidR="006D2ADC">
        <w:rPr>
          <w:rFonts w:hAnsi="Times New Roman" w:cs="Times New Roman"/>
          <w:lang w:val="en-NZ"/>
        </w:rPr>
        <w:t>evolved</w:t>
      </w:r>
      <w:r w:rsidRPr="002925AE">
        <w:rPr>
          <w:rFonts w:hAnsi="Times New Roman" w:cs="Times New Roman"/>
          <w:lang w:val="en-NZ"/>
        </w:rPr>
        <w:t xml:space="preserve"> to deal with the information needs of the market, the significant assets and business interests of the Franciscans, and household activities (Bisaschi, 2003; Derks, 2008). Derks (2008) also identifies the development of economic theories through the 13</w:t>
      </w:r>
      <w:r w:rsidRPr="002925AE">
        <w:rPr>
          <w:rFonts w:hAnsi="Times New Roman" w:cs="Times New Roman"/>
          <w:vertAlign w:val="superscript"/>
          <w:lang w:val="en-NZ"/>
        </w:rPr>
        <w:t>th</w:t>
      </w:r>
      <w:r w:rsidRPr="002925AE">
        <w:rPr>
          <w:rFonts w:hAnsi="Times New Roman" w:cs="Times New Roman"/>
          <w:lang w:val="en-NZ"/>
        </w:rPr>
        <w:t xml:space="preserve"> and 14</w:t>
      </w:r>
      <w:r w:rsidRPr="002925AE">
        <w:rPr>
          <w:rFonts w:hAnsi="Times New Roman" w:cs="Times New Roman"/>
          <w:vertAlign w:val="superscript"/>
          <w:lang w:val="en-NZ"/>
        </w:rPr>
        <w:t>th</w:t>
      </w:r>
      <w:r w:rsidRPr="002925AE">
        <w:rPr>
          <w:rFonts w:hAnsi="Times New Roman" w:cs="Times New Roman"/>
          <w:lang w:val="en-NZ"/>
        </w:rPr>
        <w:t xml:space="preserve"> centuries by non-conformist Franciscan monks who, he believes, would have strongly influenced Pacioli.</w:t>
      </w:r>
    </w:p>
    <w:p w:rsidR="00366B6D" w:rsidRPr="002925AE" w:rsidRDefault="00A55728" w:rsidP="007D3040">
      <w:pPr>
        <w:spacing w:after="120" w:line="360" w:lineRule="auto"/>
        <w:ind w:firstLine="720"/>
        <w:rPr>
          <w:rFonts w:hAnsi="Times New Roman" w:cs="Times New Roman"/>
          <w:lang w:val="en-NZ"/>
        </w:rPr>
      </w:pPr>
      <w:r w:rsidRPr="002925AE">
        <w:rPr>
          <w:rFonts w:hAnsi="Times New Roman" w:cs="Times New Roman"/>
          <w:lang w:val="en-NZ"/>
        </w:rPr>
        <w:t xml:space="preserve">Dobie’s (2008a, 2008b, 2011) analyses of financial accounting, controls and management accounting in English priories in the Middle Ages provide early examples of </w:t>
      </w:r>
      <w:r>
        <w:rPr>
          <w:rFonts w:hAnsi="Times New Roman" w:cs="Times New Roman"/>
          <w:lang w:val="en-NZ"/>
        </w:rPr>
        <w:t>practice</w:t>
      </w:r>
      <w:r w:rsidRPr="002925AE">
        <w:rPr>
          <w:rFonts w:hAnsi="Times New Roman" w:cs="Times New Roman"/>
          <w:lang w:val="en-NZ"/>
        </w:rPr>
        <w:t>.</w:t>
      </w:r>
      <w:r>
        <w:rPr>
          <w:rFonts w:hAnsi="Times New Roman" w:cs="Times New Roman"/>
          <w:lang w:val="en-NZ"/>
        </w:rPr>
        <w:t xml:space="preserve"> </w:t>
      </w:r>
      <w:r w:rsidR="000D1A57" w:rsidRPr="002925AE">
        <w:rPr>
          <w:rFonts w:hAnsi="Times New Roman" w:cs="Times New Roman"/>
          <w:lang w:val="en-NZ"/>
        </w:rPr>
        <w:t xml:space="preserve">Three later narrative US-based studies also </w:t>
      </w:r>
      <w:r>
        <w:rPr>
          <w:rFonts w:hAnsi="Times New Roman" w:cs="Times New Roman"/>
          <w:lang w:val="en-NZ"/>
        </w:rPr>
        <w:t>report</w:t>
      </w:r>
      <w:r w:rsidR="000D1A57" w:rsidRPr="002925AE">
        <w:rPr>
          <w:rFonts w:hAnsi="Times New Roman" w:cs="Times New Roman"/>
          <w:lang w:val="en-NZ"/>
        </w:rPr>
        <w:t xml:space="preserve"> practice. Swanson and Gardner (1986) analys</w:t>
      </w:r>
      <w:r>
        <w:rPr>
          <w:rFonts w:hAnsi="Times New Roman" w:cs="Times New Roman"/>
          <w:lang w:val="en-NZ"/>
        </w:rPr>
        <w:t>e</w:t>
      </w:r>
      <w:r w:rsidR="000D1A57" w:rsidRPr="002925AE">
        <w:rPr>
          <w:rFonts w:hAnsi="Times New Roman" w:cs="Times New Roman"/>
          <w:lang w:val="en-NZ"/>
        </w:rPr>
        <w:t xml:space="preserve"> the rise of canonical accounting in the Episcopal (Anglican) Church in nineteenth century USA, narrat</w:t>
      </w:r>
      <w:r>
        <w:rPr>
          <w:rFonts w:hAnsi="Times New Roman" w:cs="Times New Roman"/>
          <w:lang w:val="en-NZ"/>
        </w:rPr>
        <w:t>ing</w:t>
      </w:r>
      <w:r w:rsidR="000D1A57" w:rsidRPr="002925AE">
        <w:rPr>
          <w:rFonts w:hAnsi="Times New Roman" w:cs="Times New Roman"/>
          <w:lang w:val="en-NZ"/>
        </w:rPr>
        <w:t xml:space="preserve"> the requirement for parishes to provide statistical and demographic reporting and, eventually, </w:t>
      </w:r>
      <w:r>
        <w:rPr>
          <w:rFonts w:hAnsi="Times New Roman" w:cs="Times New Roman"/>
          <w:lang w:val="en-NZ"/>
        </w:rPr>
        <w:t xml:space="preserve">also </w:t>
      </w:r>
      <w:r w:rsidR="000D1A57" w:rsidRPr="002925AE">
        <w:rPr>
          <w:rFonts w:hAnsi="Times New Roman" w:cs="Times New Roman"/>
          <w:lang w:val="en-NZ"/>
        </w:rPr>
        <w:t>financial data. Faircloth’s (1988) study of the Shakers (the United Society of Believers) shows their emphasis on accounting procedures and policies</w:t>
      </w:r>
      <w:r w:rsidR="00211CA1">
        <w:rPr>
          <w:rFonts w:hAnsi="Times New Roman" w:cs="Times New Roman"/>
          <w:lang w:val="en-NZ"/>
        </w:rPr>
        <w:t xml:space="preserve"> (including</w:t>
      </w:r>
      <w:r w:rsidR="000D1A57" w:rsidRPr="002925AE">
        <w:rPr>
          <w:rFonts w:hAnsi="Times New Roman" w:cs="Times New Roman"/>
          <w:lang w:val="en-NZ"/>
        </w:rPr>
        <w:t xml:space="preserve"> auditing</w:t>
      </w:r>
      <w:r w:rsidR="00211CA1">
        <w:rPr>
          <w:rFonts w:hAnsi="Times New Roman" w:cs="Times New Roman"/>
          <w:lang w:val="en-NZ"/>
        </w:rPr>
        <w:t>)</w:t>
      </w:r>
      <w:r w:rsidR="000D1A57" w:rsidRPr="002925AE">
        <w:rPr>
          <w:rFonts w:hAnsi="Times New Roman" w:cs="Times New Roman"/>
          <w:lang w:val="en-NZ"/>
        </w:rPr>
        <w:t>, reflecting the Shakers’ emphasis on efficiency and effectiveness. Further, Fuglister and Bloom’s (1991) study of Quaker accounting in Massachusetts (from 1791-1860) highlights the Quakers’ adherence to paying their debts, frugality, and the operation of barter in this simple single-entry system.</w:t>
      </w:r>
      <w:r w:rsidR="000D1A57" w:rsidRPr="002925AE">
        <w:rPr>
          <w:rFonts w:hAnsi="Times New Roman" w:cs="Times New Roman"/>
          <w:vertAlign w:val="superscript"/>
          <w:lang w:val="en-NZ"/>
        </w:rPr>
        <w:endnoteReference w:id="6"/>
      </w:r>
      <w:r w:rsidR="000D1A57"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In addition, two narrative studies of non-denominational, Christian charities also extend </w:t>
      </w:r>
      <w:r w:rsidR="00211CA1">
        <w:rPr>
          <w:rFonts w:hAnsi="Times New Roman" w:cs="Times New Roman"/>
          <w:lang w:val="en-NZ"/>
        </w:rPr>
        <w:t xml:space="preserve">knowledge of </w:t>
      </w:r>
      <w:r w:rsidRPr="002925AE">
        <w:rPr>
          <w:rFonts w:hAnsi="Times New Roman" w:cs="Times New Roman"/>
          <w:lang w:val="en-NZ"/>
        </w:rPr>
        <w:t>practic</w:t>
      </w:r>
      <w:r w:rsidR="00211CA1">
        <w:rPr>
          <w:rFonts w:hAnsi="Times New Roman" w:cs="Times New Roman"/>
          <w:lang w:val="en-NZ"/>
        </w:rPr>
        <w:t>e</w:t>
      </w:r>
      <w:r w:rsidRPr="002925AE">
        <w:rPr>
          <w:rFonts w:hAnsi="Times New Roman" w:cs="Times New Roman"/>
          <w:lang w:val="en-NZ"/>
        </w:rPr>
        <w:t xml:space="preserve">: Swanson and Gardner’s (1988) </w:t>
      </w:r>
      <w:r w:rsidR="00A55728">
        <w:rPr>
          <w:rFonts w:hAnsi="Times New Roman" w:cs="Times New Roman"/>
          <w:lang w:val="en-NZ"/>
        </w:rPr>
        <w:t>research on</w:t>
      </w:r>
      <w:r w:rsidRPr="002925AE">
        <w:rPr>
          <w:rFonts w:hAnsi="Times New Roman" w:cs="Times New Roman"/>
          <w:lang w:val="en-NZ"/>
        </w:rPr>
        <w:t xml:space="preserve"> the United Society for the Propagation of the Gospel (an English society that sent missionaries to the US) describe</w:t>
      </w:r>
      <w:r w:rsidR="00A55728">
        <w:rPr>
          <w:rFonts w:hAnsi="Times New Roman" w:cs="Times New Roman"/>
          <w:lang w:val="en-NZ"/>
        </w:rPr>
        <w:t>s</w:t>
      </w:r>
      <w:r w:rsidRPr="002925AE">
        <w:rPr>
          <w:rFonts w:hAnsi="Times New Roman" w:cs="Times New Roman"/>
          <w:lang w:val="en-NZ"/>
        </w:rPr>
        <w:t xml:space="preserve"> the internal controls, financial reporting, and the push for auditing. Trigg and Nabangi’s (1995) study of financial accounting practices in the US-based Habitat for Humanity </w:t>
      </w:r>
      <w:r w:rsidR="00A55728">
        <w:rPr>
          <w:rFonts w:hAnsi="Times New Roman" w:cs="Times New Roman"/>
          <w:lang w:val="en-NZ"/>
        </w:rPr>
        <w:t>is</w:t>
      </w:r>
      <w:r w:rsidRPr="002925AE">
        <w:rPr>
          <w:rFonts w:hAnsi="Times New Roman" w:cs="Times New Roman"/>
          <w:lang w:val="en-NZ"/>
        </w:rPr>
        <w:t xml:space="preserve"> a call for better financial accounting standards - </w:t>
      </w:r>
      <w:r w:rsidR="00A55728">
        <w:rPr>
          <w:rFonts w:hAnsi="Times New Roman" w:cs="Times New Roman"/>
          <w:lang w:val="en-NZ"/>
        </w:rPr>
        <w:t>one</w:t>
      </w:r>
      <w:r w:rsidRPr="002925AE">
        <w:rPr>
          <w:rFonts w:hAnsi="Times New Roman" w:cs="Times New Roman"/>
          <w:lang w:val="en-NZ"/>
        </w:rPr>
        <w:t xml:space="preserve"> which continues to be echoed today in the charity sphere (see, for example, Crawford, Morgan, Cordery, &amp; Breen, 2014). Accordingly, while these publications on antecedence are largely narrative, they evidence the development of accounting for personal piety, organisational accountability, and for managing religious institutions.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With the rise of ‘new accounting history’, </w:t>
      </w:r>
      <w:r w:rsidR="00A55728">
        <w:rPr>
          <w:rFonts w:hAnsi="Times New Roman" w:cs="Times New Roman"/>
          <w:lang w:val="en-NZ"/>
        </w:rPr>
        <w:t xml:space="preserve">explicit </w:t>
      </w:r>
      <w:r w:rsidRPr="002925AE">
        <w:rPr>
          <w:rFonts w:hAnsi="Times New Roman" w:cs="Times New Roman"/>
          <w:lang w:val="en-NZ"/>
        </w:rPr>
        <w:t xml:space="preserve">theoretical and analytical perspectives in accounting history research have increased (Fleischman &amp; Radcliffe, </w:t>
      </w:r>
      <w:r w:rsidRPr="002925AE">
        <w:rPr>
          <w:rFonts w:hAnsi="Times New Roman" w:cs="Times New Roman"/>
          <w:lang w:val="en-NZ"/>
        </w:rPr>
        <w:lastRenderedPageBreak/>
        <w:t>2005; Carnegie &amp; Napier, 2012</w:t>
      </w:r>
      <w:r w:rsidR="00B5314A">
        <w:rPr>
          <w:rFonts w:hAnsi="Times New Roman" w:cs="Times New Roman"/>
          <w:lang w:val="en-NZ"/>
        </w:rPr>
        <w:t>; Carnegie, 2014</w:t>
      </w:r>
      <w:r w:rsidRPr="002925AE">
        <w:rPr>
          <w:rFonts w:hAnsi="Times New Roman" w:cs="Times New Roman"/>
          <w:lang w:val="en-NZ"/>
        </w:rPr>
        <w:t xml:space="preserve">). For example, while they provide examples of an antecedent, Dixon and Gaffikin (2013) also theorise their case study of Kiribas – a small group of islands in the Pacific. Dixon and Gaffikin (2013: 695) trace the changes in Kiribas from the 1820s to the present day and, specifically relating to this study, the manner in which Christian missionaries (both Roman Catholic and Protestant) brought “a new set of accountability-related concepts” to the islands, in particular those relating to personal piety. Nevertheless, they critique the lack of accountability back to the Kiribas people by the churches. Accountability is one of the two main theories predominating in accounting history research, along with the sacred-secular divide, as </w:t>
      </w:r>
      <w:r w:rsidR="00A55728">
        <w:rPr>
          <w:rFonts w:hAnsi="Times New Roman" w:cs="Times New Roman"/>
          <w:lang w:val="en-NZ"/>
        </w:rPr>
        <w:t xml:space="preserve">shown in Table 1 and </w:t>
      </w:r>
      <w:r w:rsidRPr="002925AE">
        <w:rPr>
          <w:rFonts w:hAnsi="Times New Roman" w:cs="Times New Roman"/>
          <w:lang w:val="en-NZ"/>
        </w:rPr>
        <w:t xml:space="preserve">now </w:t>
      </w:r>
      <w:r w:rsidR="00211CA1">
        <w:rPr>
          <w:rFonts w:hAnsi="Times New Roman" w:cs="Times New Roman"/>
          <w:lang w:val="en-NZ"/>
        </w:rPr>
        <w:t>discussed</w:t>
      </w:r>
      <w:r w:rsidRPr="002925AE">
        <w:rPr>
          <w:rFonts w:hAnsi="Times New Roman" w:cs="Times New Roman"/>
          <w:lang w:val="en-NZ"/>
        </w:rPr>
        <w:t>.</w:t>
      </w:r>
      <w:r w:rsidR="00211CA1" w:rsidRPr="002925AE">
        <w:rPr>
          <w:rFonts w:hAnsi="Times New Roman" w:cs="Times New Roman"/>
          <w:vertAlign w:val="superscript"/>
          <w:lang w:val="en-NZ"/>
        </w:rPr>
        <w:endnoteReference w:id="7"/>
      </w:r>
      <w:r w:rsidR="00211CA1" w:rsidRPr="002925AE">
        <w:rPr>
          <w:rFonts w:hAnsi="Times New Roman" w:cs="Times New Roman"/>
          <w:lang w:val="en-NZ"/>
        </w:rPr>
        <w:t xml:space="preserve"> </w:t>
      </w:r>
      <w:r w:rsidRPr="002925AE">
        <w:rPr>
          <w:rFonts w:hAnsi="Times New Roman" w:cs="Times New Roman"/>
          <w:lang w:val="en-NZ"/>
        </w:rPr>
        <w:t xml:space="preserve">  </w:t>
      </w:r>
    </w:p>
    <w:p w:rsidR="00366B6D" w:rsidRPr="002925AE" w:rsidRDefault="00366B6D" w:rsidP="007D3040">
      <w:pPr>
        <w:spacing w:after="120" w:line="360" w:lineRule="auto"/>
        <w:ind w:firstLine="720"/>
        <w:rPr>
          <w:rFonts w:hAnsi="Times New Roman" w:cs="Times New Roman"/>
          <w:lang w:val="en-NZ"/>
        </w:rPr>
      </w:pPr>
    </w:p>
    <w:p w:rsidR="00366B6D" w:rsidRPr="007D3040" w:rsidRDefault="000D1A57" w:rsidP="007D3040">
      <w:pPr>
        <w:spacing w:after="120" w:line="360" w:lineRule="auto"/>
        <w:rPr>
          <w:b/>
          <w:bCs/>
          <w:lang w:val="en-NZ"/>
        </w:rPr>
      </w:pPr>
      <w:r w:rsidRPr="007D3040">
        <w:rPr>
          <w:b/>
          <w:bCs/>
          <w:lang w:val="en-NZ"/>
        </w:rPr>
        <w:t>4. Theories in organisational resourcing</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Sacred-</w:t>
      </w:r>
      <w:r w:rsidR="00F36201">
        <w:rPr>
          <w:rFonts w:hAnsi="Times New Roman" w:cs="Times New Roman"/>
          <w:i/>
          <w:iCs/>
          <w:lang w:val="en-NZ"/>
        </w:rPr>
        <w:t>s</w:t>
      </w:r>
      <w:r w:rsidRPr="002925AE">
        <w:rPr>
          <w:rFonts w:hAnsi="Times New Roman" w:cs="Times New Roman"/>
          <w:i/>
          <w:iCs/>
          <w:lang w:val="en-NZ"/>
        </w:rPr>
        <w:t xml:space="preserve">ecular </w:t>
      </w:r>
      <w:r w:rsidR="00F36201">
        <w:rPr>
          <w:rFonts w:hAnsi="Times New Roman" w:cs="Times New Roman"/>
          <w:i/>
          <w:iCs/>
          <w:lang w:val="en-NZ"/>
        </w:rPr>
        <w:t>d</w:t>
      </w:r>
      <w:r w:rsidRPr="002925AE">
        <w:rPr>
          <w:rFonts w:hAnsi="Times New Roman" w:cs="Times New Roman"/>
          <w:i/>
          <w:iCs/>
          <w:lang w:val="en-NZ"/>
        </w:rPr>
        <w:t xml:space="preserve">ivide and </w:t>
      </w:r>
      <w:r w:rsidR="00F36201">
        <w:rPr>
          <w:rFonts w:hAnsi="Times New Roman" w:cs="Times New Roman"/>
          <w:i/>
          <w:iCs/>
          <w:lang w:val="en-NZ"/>
        </w:rPr>
        <w:t>r</w:t>
      </w:r>
      <w:r w:rsidRPr="002925AE">
        <w:rPr>
          <w:rFonts w:hAnsi="Times New Roman" w:cs="Times New Roman"/>
          <w:i/>
          <w:iCs/>
          <w:lang w:val="en-NZ"/>
        </w:rPr>
        <w:t>esources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The sacred-secular (or profane) divide has risen to particular prominence in accounting history (Funnell &amp; Williams, 2014) since it was introduced into the contemporary accounting literature by Laughlin (1988). This divide is aptly summarised by Bigoni, Deidda Gagliardo and Funnell (2013), calling on the arguments of Eliade (1959) and Durkheim (1976). The argument dichotomises a clash between sacred (religious) practices and secular or profane practices, with the sacred being prioritised and secular elements expected to facilitate the achievement of the sacred ‘agenda’ (Laughlin, 2007). Accounting is often </w:t>
      </w:r>
      <w:r w:rsidR="0070092E">
        <w:rPr>
          <w:rFonts w:hAnsi="Times New Roman" w:cs="Times New Roman"/>
          <w:lang w:val="en-NZ"/>
        </w:rPr>
        <w:t>described</w:t>
      </w:r>
      <w:r w:rsidRPr="002925AE">
        <w:rPr>
          <w:rFonts w:hAnsi="Times New Roman" w:cs="Times New Roman"/>
          <w:lang w:val="en-NZ"/>
        </w:rPr>
        <w:t xml:space="preserve"> as secular and its practice is resisted when it constrains the sacred.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Nevertheless, this framing is contentious and Laughlin (2007) agrees the concepts are ‘slippery’. In particular, while some authors locate the scared-secular divide internally in </w:t>
      </w:r>
      <w:r w:rsidR="00211CA1">
        <w:rPr>
          <w:rFonts w:hAnsi="Times New Roman" w:cs="Times New Roman"/>
          <w:lang w:val="en-NZ"/>
        </w:rPr>
        <w:t>the</w:t>
      </w:r>
      <w:r w:rsidRPr="002925AE">
        <w:rPr>
          <w:rFonts w:hAnsi="Times New Roman" w:cs="Times New Roman"/>
          <w:lang w:val="en-NZ"/>
        </w:rPr>
        <w:t xml:space="preserve"> religious organisation</w:t>
      </w:r>
      <w:r w:rsidR="00211CA1">
        <w:rPr>
          <w:rFonts w:hAnsi="Times New Roman" w:cs="Times New Roman"/>
          <w:lang w:val="en-NZ"/>
        </w:rPr>
        <w:t xml:space="preserve"> they study</w:t>
      </w:r>
      <w:r w:rsidRPr="002925AE">
        <w:rPr>
          <w:rFonts w:hAnsi="Times New Roman" w:cs="Times New Roman"/>
          <w:lang w:val="en-NZ"/>
        </w:rPr>
        <w:t xml:space="preserve"> (for example, Laughlin, 1988, 1990; Booth, 1993), others argue vehemently that, in other </w:t>
      </w:r>
      <w:r w:rsidR="00C661C6">
        <w:rPr>
          <w:rFonts w:hAnsi="Times New Roman" w:cs="Times New Roman"/>
          <w:lang w:val="en-NZ"/>
        </w:rPr>
        <w:t xml:space="preserve">religious </w:t>
      </w:r>
      <w:r w:rsidRPr="002925AE">
        <w:rPr>
          <w:rFonts w:hAnsi="Times New Roman" w:cs="Times New Roman"/>
          <w:lang w:val="en-NZ"/>
        </w:rPr>
        <w:t xml:space="preserve">contexts, there is no sacred-secular divide. These include historical studies (Irvine, 2002; Fonfeder, et al., 2003; Quattrone, 2004; Ezzamel, 2005; Cordery, 2006; Kuasirikun &amp; Constable, 2010; Paisey &amp; Paisey, 2011; Bigoni et al., 2013; Herda, Reed, &amp; Bowlin, 2013; Leardini &amp; Rossi, 2013) and organisations studied in this century (Jacobs &amp; Walker, 2004; Kreander, McPhail, &amp; Molyneaux, 2004; Irvine, 2005; Jacobs, 2005). Different belief systems (and </w:t>
      </w:r>
      <w:r w:rsidR="00B5314A">
        <w:rPr>
          <w:rFonts w:hAnsi="Times New Roman" w:cs="Times New Roman"/>
          <w:lang w:val="en-NZ"/>
        </w:rPr>
        <w:t xml:space="preserve">the subject </w:t>
      </w:r>
      <w:r w:rsidRPr="002925AE">
        <w:rPr>
          <w:rFonts w:hAnsi="Times New Roman" w:cs="Times New Roman"/>
          <w:lang w:val="en-NZ"/>
        </w:rPr>
        <w:t xml:space="preserve">organisations) may perceive accounting </w:t>
      </w:r>
      <w:r w:rsidRPr="002925AE">
        <w:rPr>
          <w:rFonts w:hAnsi="Times New Roman" w:cs="Times New Roman"/>
          <w:lang w:val="en-NZ"/>
        </w:rPr>
        <w:lastRenderedPageBreak/>
        <w:t xml:space="preserve">practices differently as either sacred or secular (Laughlin, 1988; Booth, 1993; Hardy &amp; Ballis, 2005; Jacobs, 2005). Indeed, Abdul-Rahman and Goddard (1998: 185) state “Islam does not concede the dichotomy at all” (with religion extending to every human activity and the </w:t>
      </w:r>
      <w:r w:rsidRPr="002925AE">
        <w:rPr>
          <w:rFonts w:hAnsi="Times New Roman" w:cs="Times New Roman"/>
          <w:i/>
          <w:iCs/>
          <w:lang w:val="en-NZ"/>
        </w:rPr>
        <w:t>Quran</w:t>
      </w:r>
      <w:r w:rsidRPr="002925AE">
        <w:rPr>
          <w:rFonts w:hAnsi="Times New Roman" w:cs="Times New Roman"/>
          <w:lang w:val="en-NZ"/>
        </w:rPr>
        <w:t xml:space="preserve"> foretelling 'the day of accounting').</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McPhail, Gorringe and Gray (2005) note concern with the ‘rigidity’ with which the concept has been applied. Along with Jacobs (2005), Irvine (2005) and Hardy and Ballis (2005), McPhail et al. (2005: 188) call for a “more sophisticated</w:t>
      </w:r>
      <w:r w:rsidR="00B5314A">
        <w:rPr>
          <w:rFonts w:hAnsi="Times New Roman" w:cs="Times New Roman"/>
          <w:lang w:val="en-NZ"/>
        </w:rPr>
        <w:t>,</w:t>
      </w:r>
      <w:r w:rsidRPr="002925AE">
        <w:rPr>
          <w:rFonts w:hAnsi="Times New Roman" w:cs="Times New Roman"/>
          <w:lang w:val="en-NZ"/>
        </w:rPr>
        <w:t xml:space="preserve"> both and perspective”. Nevertheless, despite its contentiousness, organisational analysis and theoretical arguments for and against it, as yet no typology has been developed to assist those who might wish to explain the phenomenon (Hardy &amp; Ballis, 2005). Accordingly, Hardy and Ballis (2005: 251) “suggest a need to consider other ways of conceptualising the roles of accounting and accountability in religious organisations”. They promote Ni</w:t>
      </w:r>
      <w:r w:rsidR="00A55728">
        <w:rPr>
          <w:rFonts w:hAnsi="Times New Roman" w:cs="Times New Roman"/>
          <w:lang w:val="en-NZ"/>
        </w:rPr>
        <w:t>e</w:t>
      </w:r>
      <w:r w:rsidRPr="002925AE">
        <w:rPr>
          <w:rFonts w:hAnsi="Times New Roman" w:cs="Times New Roman"/>
          <w:lang w:val="en-NZ"/>
        </w:rPr>
        <w:t xml:space="preserve">buhr’s (1951) distinction of internal and external history as a way to gain more insight into complex religious institutions (especially those of different creeds), combining, comparing and contrasting the internal history (the participant’s experience - an emic view) to the external history (the perspective of an outside observer - an etic view).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Scarce resources are an issue, with Laughlin (2007) noting that organisations’ and professionals’ search</w:t>
      </w:r>
      <w:r w:rsidR="00A614B9">
        <w:rPr>
          <w:rFonts w:hAnsi="Times New Roman" w:cs="Times New Roman"/>
          <w:lang w:val="en-NZ"/>
        </w:rPr>
        <w:t>es</w:t>
      </w:r>
      <w:r w:rsidRPr="002925AE">
        <w:rPr>
          <w:rFonts w:hAnsi="Times New Roman" w:cs="Times New Roman"/>
          <w:lang w:val="en-NZ"/>
        </w:rPr>
        <w:t xml:space="preserve"> for full resourcing </w:t>
      </w:r>
      <w:r w:rsidR="00A614B9">
        <w:rPr>
          <w:rFonts w:hAnsi="Times New Roman" w:cs="Times New Roman"/>
          <w:lang w:val="en-NZ"/>
        </w:rPr>
        <w:t>are</w:t>
      </w:r>
      <w:r w:rsidRPr="002925AE">
        <w:rPr>
          <w:rFonts w:hAnsi="Times New Roman" w:cs="Times New Roman"/>
          <w:lang w:val="en-NZ"/>
        </w:rPr>
        <w:t xml:space="preserve"> idealistic and unlikely to be fulfilled. Laughlin (1988) appears to argue that, in times of growing wealth and popularity (such as following Augustine’s conversion of King Ethelbert in 597A</w:t>
      </w:r>
      <w:r w:rsidRPr="002925AE">
        <w:rPr>
          <w:rFonts w:hAnsi="Times New Roman" w:cs="Times New Roman"/>
          <w:caps/>
          <w:lang w:val="en-NZ"/>
        </w:rPr>
        <w:t>D)</w:t>
      </w:r>
      <w:r w:rsidRPr="002925AE">
        <w:rPr>
          <w:rFonts w:hAnsi="Times New Roman" w:cs="Times New Roman"/>
          <w:lang w:val="en-NZ"/>
        </w:rPr>
        <w:t xml:space="preserve">, converts and adherents will willingly resource the centre and accounting does not limit the centre’s growth. Hence, the lack of a divide is observed in a number of </w:t>
      </w:r>
      <w:r w:rsidR="00A614B9">
        <w:rPr>
          <w:rFonts w:hAnsi="Times New Roman" w:cs="Times New Roman"/>
          <w:lang w:val="en-NZ"/>
        </w:rPr>
        <w:t>contributions</w:t>
      </w:r>
      <w:r w:rsidRPr="002925AE">
        <w:rPr>
          <w:rFonts w:hAnsi="Times New Roman" w:cs="Times New Roman"/>
          <w:lang w:val="en-NZ"/>
        </w:rPr>
        <w:t xml:space="preserve"> studying wealthy periods. For example, Ezzamel’s (2005) analysis of ancient Egyptian funerary temples (from 2700-2181 BC), </w:t>
      </w:r>
      <w:r w:rsidR="00A55728">
        <w:rPr>
          <w:rFonts w:hAnsi="Times New Roman" w:cs="Times New Roman"/>
          <w:lang w:val="en-NZ"/>
        </w:rPr>
        <w:t>finds</w:t>
      </w:r>
      <w:r w:rsidRPr="002925AE">
        <w:rPr>
          <w:rFonts w:hAnsi="Times New Roman" w:cs="Times New Roman"/>
          <w:lang w:val="en-NZ"/>
        </w:rPr>
        <w:t xml:space="preserve"> counting and accounts were instrumental in ensuring the daily cycles of the temples could continue; and similarly, Fo</w:t>
      </w:r>
      <w:r w:rsidR="00A55728">
        <w:rPr>
          <w:rFonts w:hAnsi="Times New Roman" w:cs="Times New Roman"/>
          <w:lang w:val="en-NZ"/>
        </w:rPr>
        <w:t>nfeder et al. (2003: 90) observes</w:t>
      </w:r>
      <w:r w:rsidRPr="002925AE">
        <w:rPr>
          <w:rFonts w:hAnsi="Times New Roman" w:cs="Times New Roman"/>
          <w:lang w:val="en-NZ"/>
        </w:rPr>
        <w:t xml:space="preserve"> that, while sacred roles were prescribed in the ancient Jewish Temple (823 BC to 70 AD), and these roles were separate from those held by laypeople, “[t]here was no separation between secular accounting processes and sacred service”. In addition, Herda et al. (2013), in their study of the Dead Sea Scrolls left by the Essene community from Qumran (around 100BC-74AD), argue that accounting was intertwined with the Essene’s belief system. This </w:t>
      </w:r>
      <w:r w:rsidR="00A55728">
        <w:rPr>
          <w:rFonts w:hAnsi="Times New Roman" w:cs="Times New Roman"/>
          <w:lang w:val="en-NZ"/>
        </w:rPr>
        <w:t>is</w:t>
      </w:r>
      <w:r w:rsidRPr="002925AE">
        <w:rPr>
          <w:rFonts w:hAnsi="Times New Roman" w:cs="Times New Roman"/>
          <w:lang w:val="en-NZ"/>
        </w:rPr>
        <w:t xml:space="preserve"> evident from the manner in which </w:t>
      </w:r>
      <w:r w:rsidR="00A55728" w:rsidRPr="002925AE">
        <w:rPr>
          <w:rFonts w:hAnsi="Times New Roman" w:cs="Times New Roman"/>
          <w:lang w:val="en-NZ"/>
        </w:rPr>
        <w:t>initiates</w:t>
      </w:r>
      <w:r w:rsidR="00A55728">
        <w:rPr>
          <w:rFonts w:hAnsi="Times New Roman" w:cs="Times New Roman"/>
          <w:lang w:val="en-NZ"/>
        </w:rPr>
        <w:t xml:space="preserve">’ deposits to the communal fund were </w:t>
      </w:r>
      <w:r w:rsidRPr="002925AE">
        <w:rPr>
          <w:rFonts w:hAnsi="Times New Roman" w:cs="Times New Roman"/>
          <w:lang w:val="en-NZ"/>
        </w:rPr>
        <w:t>account</w:t>
      </w:r>
      <w:r w:rsidR="00A55728">
        <w:rPr>
          <w:rFonts w:hAnsi="Times New Roman" w:cs="Times New Roman"/>
          <w:lang w:val="en-NZ"/>
        </w:rPr>
        <w:t xml:space="preserve">ed </w:t>
      </w:r>
      <w:r w:rsidR="00A55728">
        <w:rPr>
          <w:rFonts w:hAnsi="Times New Roman" w:cs="Times New Roman"/>
          <w:lang w:val="en-NZ"/>
        </w:rPr>
        <w:lastRenderedPageBreak/>
        <w:t xml:space="preserve">for, </w:t>
      </w:r>
      <w:r w:rsidRPr="002925AE">
        <w:rPr>
          <w:rFonts w:hAnsi="Times New Roman" w:cs="Times New Roman"/>
          <w:lang w:val="en-NZ"/>
        </w:rPr>
        <w:t xml:space="preserve">the management of communal assets, the system of taxation and re-distribution, the system of fines or ‘rebukes’, and the regulations as to with whom Essene community members could trade (Herda et al., 2013).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Also from a time of plenty, is Paisey and Paisey’s (2011) study of the pre-Reformation Scottish church (in the late fifteenth century). There, Bishop Elphinstone managed a system of appropriation from the parishes, building up the wealth of the Aberdeen cathedral. Further, the church owned vast tracts of land providing rental income and further wealth. Paisey and Paisey (2011) </w:t>
      </w:r>
      <w:r w:rsidR="00A55728">
        <w:rPr>
          <w:rFonts w:hAnsi="Times New Roman" w:cs="Times New Roman"/>
          <w:lang w:val="en-NZ"/>
        </w:rPr>
        <w:t>assert</w:t>
      </w:r>
      <w:r w:rsidRPr="002925AE">
        <w:rPr>
          <w:rFonts w:hAnsi="Times New Roman" w:cs="Times New Roman"/>
          <w:lang w:val="en-NZ"/>
        </w:rPr>
        <w:t xml:space="preserve"> that Elphinstone carefully managed this wealth </w:t>
      </w:r>
      <w:r w:rsidR="00A55728">
        <w:rPr>
          <w:rFonts w:hAnsi="Times New Roman" w:cs="Times New Roman"/>
          <w:lang w:val="en-NZ"/>
        </w:rPr>
        <w:t>so that the church could</w:t>
      </w:r>
      <w:r w:rsidRPr="002925AE">
        <w:rPr>
          <w:rFonts w:hAnsi="Times New Roman" w:cs="Times New Roman"/>
          <w:lang w:val="en-NZ"/>
        </w:rPr>
        <w:t xml:space="preserve"> achieve its mission and, accordingly, fused the sacred and the secular, rather than perceiving the</w:t>
      </w:r>
      <w:r w:rsidR="00886CE0">
        <w:rPr>
          <w:rFonts w:hAnsi="Times New Roman" w:cs="Times New Roman"/>
          <w:lang w:val="en-NZ"/>
        </w:rPr>
        <w:t>se concepts</w:t>
      </w:r>
      <w:r w:rsidRPr="002925AE">
        <w:rPr>
          <w:rFonts w:hAnsi="Times New Roman" w:cs="Times New Roman"/>
          <w:lang w:val="en-NZ"/>
        </w:rPr>
        <w:t xml:space="preserve"> to be rigidly divided. </w:t>
      </w:r>
    </w:p>
    <w:p w:rsidR="00366B6D" w:rsidRPr="002925AE" w:rsidRDefault="00C661C6" w:rsidP="007D3040">
      <w:pPr>
        <w:spacing w:after="120" w:line="360" w:lineRule="auto"/>
        <w:ind w:firstLine="720"/>
        <w:rPr>
          <w:rFonts w:hAnsi="Times New Roman" w:cs="Times New Roman"/>
          <w:lang w:val="en-NZ"/>
        </w:rPr>
      </w:pPr>
      <w:r>
        <w:rPr>
          <w:rFonts w:hAnsi="Times New Roman" w:cs="Times New Roman"/>
          <w:lang w:val="en-NZ"/>
        </w:rPr>
        <w:t>A</w:t>
      </w:r>
      <w:r w:rsidR="000D1A57" w:rsidRPr="002925AE">
        <w:rPr>
          <w:rFonts w:hAnsi="Times New Roman" w:cs="Times New Roman"/>
          <w:lang w:val="en-NZ"/>
        </w:rPr>
        <w:t xml:space="preserve">s can be seen from Bigoni et al.’s (2013) study of the Roman Catholic Italian Diocese of Ferrara (in 1431-1457), accounting was used to ensure that money and goods were used for their correct purpose (see also Aho, 2005). Bigoni and Funnell (2015), in analysing the same data using Foucault’s concept of pastoral power (along with governmentality) </w:t>
      </w:r>
      <w:r w:rsidR="00886CE0">
        <w:rPr>
          <w:rFonts w:hAnsi="Times New Roman" w:cs="Times New Roman"/>
          <w:lang w:val="en-NZ"/>
        </w:rPr>
        <w:t>note</w:t>
      </w:r>
      <w:r w:rsidR="000D1A57" w:rsidRPr="002925AE">
        <w:rPr>
          <w:rFonts w:hAnsi="Times New Roman" w:cs="Times New Roman"/>
          <w:lang w:val="en-NZ"/>
        </w:rPr>
        <w:t xml:space="preserve"> that this accountability was also demanded as an exercise of power</w:t>
      </w:r>
      <w:r w:rsidR="00A614B9">
        <w:rPr>
          <w:rFonts w:hAnsi="Times New Roman" w:cs="Times New Roman"/>
          <w:lang w:val="en-NZ"/>
        </w:rPr>
        <w:t>,</w:t>
      </w:r>
      <w:r w:rsidR="000D1A57" w:rsidRPr="002925AE">
        <w:rPr>
          <w:rFonts w:hAnsi="Times New Roman" w:cs="Times New Roman"/>
          <w:lang w:val="en-NZ"/>
        </w:rPr>
        <w:t xml:space="preserve"> and in order to restore the pastoral power of the bishops over the priests. Accounting was used to assess whether priests lived in accordance with Roman Catholic principles and proselytised as they were required, and, through sanctions and rewards, to mould the priests’ behaviour (Bigoni &amp; Funnell, 2015). </w:t>
      </w:r>
      <w:r w:rsidR="00211CA1">
        <w:rPr>
          <w:rFonts w:hAnsi="Times New Roman" w:cs="Times New Roman"/>
          <w:lang w:val="en-NZ"/>
        </w:rPr>
        <w:t xml:space="preserve">(Similar behaviour can be observed in post-World War Two Jewish aid – </w:t>
      </w:r>
      <w:r>
        <w:rPr>
          <w:rFonts w:hAnsi="Times New Roman" w:cs="Times New Roman"/>
          <w:lang w:val="en-NZ"/>
        </w:rPr>
        <w:t>Fishman and Goldschmidt, 1990</w:t>
      </w:r>
      <w:r w:rsidR="00211CA1">
        <w:rPr>
          <w:rFonts w:hAnsi="Times New Roman" w:cs="Times New Roman"/>
          <w:lang w:val="en-NZ"/>
        </w:rPr>
        <w:t>)</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Leardini and Rossi’s (2013) study from a similar period also </w:t>
      </w:r>
      <w:r w:rsidR="00886CE0">
        <w:rPr>
          <w:rFonts w:hAnsi="Times New Roman" w:cs="Times New Roman"/>
          <w:lang w:val="en-NZ"/>
        </w:rPr>
        <w:t>finds</w:t>
      </w:r>
      <w:r w:rsidRPr="002925AE">
        <w:rPr>
          <w:rFonts w:hAnsi="Times New Roman" w:cs="Times New Roman"/>
          <w:lang w:val="en-NZ"/>
        </w:rPr>
        <w:t xml:space="preserve"> accounting support</w:t>
      </w:r>
      <w:r w:rsidR="00886CE0">
        <w:rPr>
          <w:rFonts w:hAnsi="Times New Roman" w:cs="Times New Roman"/>
          <w:lang w:val="en-NZ"/>
        </w:rPr>
        <w:t>ing</w:t>
      </w:r>
      <w:r w:rsidRPr="002925AE">
        <w:rPr>
          <w:rFonts w:hAnsi="Times New Roman" w:cs="Times New Roman"/>
          <w:lang w:val="en-NZ"/>
        </w:rPr>
        <w:t xml:space="preserve"> the hierarchical power relations within the monastery. In addition, it supported the peer relationships between the sacrist (the monk responsible for the church administration) and the procurator (the monk responsible for the monastery’s administration). Nevertheless, in his study of accounting and accountability practices in the Society of Jesus in Italy in the 16</w:t>
      </w:r>
      <w:r w:rsidRPr="002925AE">
        <w:rPr>
          <w:rFonts w:hAnsi="Times New Roman" w:cs="Times New Roman"/>
          <w:vertAlign w:val="superscript"/>
          <w:lang w:val="en-NZ"/>
        </w:rPr>
        <w:t>th</w:t>
      </w:r>
      <w:r w:rsidRPr="002925AE">
        <w:rPr>
          <w:rFonts w:hAnsi="Times New Roman" w:cs="Times New Roman"/>
          <w:lang w:val="en-NZ"/>
        </w:rPr>
        <w:t xml:space="preserve"> and 17</w:t>
      </w:r>
      <w:r w:rsidRPr="002925AE">
        <w:rPr>
          <w:rFonts w:hAnsi="Times New Roman" w:cs="Times New Roman"/>
          <w:vertAlign w:val="superscript"/>
          <w:lang w:val="en-NZ"/>
        </w:rPr>
        <w:t>th</w:t>
      </w:r>
      <w:r w:rsidRPr="002925AE">
        <w:rPr>
          <w:rFonts w:hAnsi="Times New Roman" w:cs="Times New Roman"/>
          <w:lang w:val="en-NZ"/>
        </w:rPr>
        <w:t xml:space="preserve"> centuries, Quattrone (2004) warns against seeking a unitary rationale (to the exclusion of others) for the various accountings given. </w:t>
      </w:r>
    </w:p>
    <w:p w:rsidR="00886CE0"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The context matters; for example, Kuasirikun and Constable (2010: 806), in their study of early Bangkok accounting, </w:t>
      </w:r>
      <w:r w:rsidR="00886CE0">
        <w:rPr>
          <w:rFonts w:hAnsi="Times New Roman" w:cs="Times New Roman"/>
          <w:lang w:val="en-NZ"/>
        </w:rPr>
        <w:t>comment</w:t>
      </w:r>
      <w:r w:rsidRPr="002925AE">
        <w:rPr>
          <w:rFonts w:hAnsi="Times New Roman" w:cs="Times New Roman"/>
          <w:lang w:val="en-NZ"/>
        </w:rPr>
        <w:t xml:space="preserve"> that accounting was “closely </w:t>
      </w:r>
      <w:r w:rsidRPr="002925AE">
        <w:rPr>
          <w:rFonts w:hAnsi="Times New Roman" w:cs="Times New Roman"/>
          <w:lang w:val="en-NZ"/>
        </w:rPr>
        <w:lastRenderedPageBreak/>
        <w:t>connected with and helped constitute cardinal Buddhist cosmology”. Their research interrogates governmental accounting</w:t>
      </w:r>
      <w:r w:rsidR="00A614B9">
        <w:rPr>
          <w:rFonts w:hAnsi="Times New Roman" w:cs="Times New Roman"/>
          <w:lang w:val="en-NZ"/>
        </w:rPr>
        <w:t>;</w:t>
      </w:r>
      <w:r w:rsidRPr="002925AE">
        <w:rPr>
          <w:rFonts w:hAnsi="Times New Roman" w:cs="Times New Roman"/>
          <w:lang w:val="en-NZ"/>
        </w:rPr>
        <w:t xml:space="preserve"> nevertheless, religious concepts and political structures interacted to justify the use of accounting in temples as well, without a sacred-secular divide.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From Malaysia, Abdul-Rahman and Goddard (1998) analyse two State Religious Councils required to administer Islamic affairs, in particular the </w:t>
      </w:r>
      <w:r w:rsidRPr="002925AE">
        <w:rPr>
          <w:rFonts w:hAnsi="Times New Roman" w:cs="Times New Roman"/>
          <w:i/>
          <w:iCs/>
          <w:lang w:val="en-NZ"/>
        </w:rPr>
        <w:t>zakat</w:t>
      </w:r>
      <w:r w:rsidRPr="002925AE">
        <w:rPr>
          <w:rFonts w:hAnsi="Times New Roman" w:cs="Times New Roman"/>
          <w:lang w:val="en-NZ"/>
        </w:rPr>
        <w:t xml:space="preserve"> or Islamic tax. The</w:t>
      </w:r>
      <w:r w:rsidR="00886CE0">
        <w:rPr>
          <w:rFonts w:hAnsi="Times New Roman" w:cs="Times New Roman"/>
          <w:lang w:val="en-NZ"/>
        </w:rPr>
        <w:t>re was</w:t>
      </w:r>
      <w:r w:rsidRPr="002925AE">
        <w:rPr>
          <w:rFonts w:hAnsi="Times New Roman" w:cs="Times New Roman"/>
          <w:lang w:val="en-NZ"/>
        </w:rPr>
        <w:t xml:space="preserve"> no significant separation between the sacred and secular, </w:t>
      </w:r>
      <w:r w:rsidR="00886CE0">
        <w:rPr>
          <w:rFonts w:hAnsi="Times New Roman" w:cs="Times New Roman"/>
          <w:lang w:val="en-NZ"/>
        </w:rPr>
        <w:t>however,</w:t>
      </w:r>
      <w:r w:rsidRPr="002925AE">
        <w:rPr>
          <w:rFonts w:hAnsi="Times New Roman" w:cs="Times New Roman"/>
          <w:lang w:val="en-NZ"/>
        </w:rPr>
        <w:t xml:space="preserve"> the operation of accounting was restricted by the power elite and culture operating in each organisation (Abdul-Rahman &amp; Goddard, 1998). Other large and/or growing religious institutions in the modern day (such as those studied by Kreander et al., 2004; Irvine, 2005; Jacobs, 2005; Hiebl &amp; Feldbauer-Durstmüller, 2014) also evidence a lack of this structuralist divide. </w:t>
      </w:r>
      <w:r w:rsidR="00886CE0">
        <w:rPr>
          <w:rFonts w:hAnsi="Times New Roman" w:cs="Times New Roman"/>
          <w:lang w:val="en-NZ"/>
        </w:rPr>
        <w:t>T</w:t>
      </w:r>
      <w:r w:rsidRPr="002925AE">
        <w:rPr>
          <w:rFonts w:hAnsi="Times New Roman" w:cs="Times New Roman"/>
          <w:lang w:val="en-NZ"/>
        </w:rPr>
        <w:t>hese studies</w:t>
      </w:r>
      <w:r w:rsidR="00886CE0">
        <w:rPr>
          <w:rFonts w:hAnsi="Times New Roman" w:cs="Times New Roman"/>
          <w:lang w:val="en-NZ"/>
        </w:rPr>
        <w:t xml:space="preserve"> posit accounting </w:t>
      </w:r>
      <w:r w:rsidRPr="002925AE">
        <w:rPr>
          <w:rFonts w:hAnsi="Times New Roman" w:cs="Times New Roman"/>
          <w:lang w:val="en-NZ"/>
        </w:rPr>
        <w:t xml:space="preserve">as integral to the </w:t>
      </w:r>
      <w:r w:rsidR="00A614B9">
        <w:rPr>
          <w:rFonts w:hAnsi="Times New Roman" w:cs="Times New Roman"/>
          <w:lang w:val="en-NZ"/>
        </w:rPr>
        <w:t>ongoing</w:t>
      </w:r>
      <w:r w:rsidRPr="002925AE">
        <w:rPr>
          <w:rFonts w:hAnsi="Times New Roman" w:cs="Times New Roman"/>
          <w:lang w:val="en-NZ"/>
        </w:rPr>
        <w:t xml:space="preserve"> management of resources donated to the respective organisations, rather than being merely a subservient facilitator. </w:t>
      </w:r>
    </w:p>
    <w:p w:rsidR="00211CA1"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The reduction of resources available to the sacred mission may heighten the demonization of accounting. Rather than wealth, popularity and plenty, authors now note the decline in conversions and adherents, with “the gradual secularisation of society” from 1830 onwards (Laughlin, 1988: 32). Lightbody</w:t>
      </w:r>
      <w:r w:rsidR="00886CE0">
        <w:rPr>
          <w:rFonts w:hAnsi="Times New Roman" w:cs="Times New Roman"/>
          <w:lang w:val="en-NZ"/>
        </w:rPr>
        <w:t xml:space="preserve">’s </w:t>
      </w:r>
      <w:r w:rsidR="00886CE0" w:rsidRPr="002925AE">
        <w:rPr>
          <w:rFonts w:hAnsi="Times New Roman" w:cs="Times New Roman"/>
          <w:lang w:val="en-NZ"/>
        </w:rPr>
        <w:t xml:space="preserve">(2000, 2003) </w:t>
      </w:r>
      <w:r w:rsidR="00886CE0">
        <w:rPr>
          <w:rFonts w:hAnsi="Times New Roman" w:cs="Times New Roman"/>
          <w:lang w:val="en-NZ"/>
        </w:rPr>
        <w:t>case study church</w:t>
      </w:r>
      <w:r w:rsidRPr="002925AE">
        <w:rPr>
          <w:rFonts w:hAnsi="Times New Roman" w:cs="Times New Roman"/>
          <w:lang w:val="en-NZ"/>
        </w:rPr>
        <w:t xml:space="preserve"> faced a financial crisis as, despite its size (having 22,000 employees and over Au$5 billion in assets), it had experienced a 39 per cent decline in congregational attendance from 1991-1996 and a decline in parish support for the centre of an average of five per cent </w:t>
      </w:r>
      <w:r w:rsidR="00F36201">
        <w:rPr>
          <w:rFonts w:hAnsi="Times New Roman" w:cs="Times New Roman"/>
          <w:lang w:val="en-NZ"/>
        </w:rPr>
        <w:t>per annum</w:t>
      </w:r>
      <w:r w:rsidRPr="002925AE">
        <w:rPr>
          <w:rFonts w:hAnsi="Times New Roman" w:cs="Times New Roman"/>
          <w:lang w:val="en-NZ"/>
        </w:rPr>
        <w:t xml:space="preserve">. Similarly, </w:t>
      </w:r>
      <w:r w:rsidR="00211CA1" w:rsidRPr="002925AE">
        <w:rPr>
          <w:rFonts w:hAnsi="Times New Roman" w:cs="Times New Roman"/>
          <w:lang w:val="en-NZ"/>
        </w:rPr>
        <w:t xml:space="preserve">resource constraints </w:t>
      </w:r>
      <w:r w:rsidR="00211CA1">
        <w:rPr>
          <w:rFonts w:hAnsi="Times New Roman" w:cs="Times New Roman"/>
          <w:lang w:val="en-NZ"/>
        </w:rPr>
        <w:t xml:space="preserve">were faced by the case studies </w:t>
      </w:r>
      <w:r w:rsidR="00C661C6">
        <w:rPr>
          <w:rFonts w:hAnsi="Times New Roman" w:cs="Times New Roman"/>
          <w:lang w:val="en-NZ"/>
        </w:rPr>
        <w:t xml:space="preserve">sites </w:t>
      </w:r>
      <w:r w:rsidR="00886CE0">
        <w:rPr>
          <w:rFonts w:hAnsi="Times New Roman" w:cs="Times New Roman"/>
          <w:lang w:val="en-NZ"/>
        </w:rPr>
        <w:t>researched by</w:t>
      </w:r>
      <w:r w:rsidR="00C661C6">
        <w:rPr>
          <w:rFonts w:hAnsi="Times New Roman" w:cs="Times New Roman"/>
          <w:lang w:val="en-NZ"/>
        </w:rPr>
        <w:t xml:space="preserve"> P</w:t>
      </w:r>
      <w:r w:rsidR="00211CA1">
        <w:rPr>
          <w:rFonts w:hAnsi="Times New Roman" w:cs="Times New Roman"/>
          <w:lang w:val="en-NZ"/>
        </w:rPr>
        <w:t>arker</w:t>
      </w:r>
      <w:r w:rsidRPr="002925AE">
        <w:rPr>
          <w:rFonts w:hAnsi="Times New Roman" w:cs="Times New Roman"/>
          <w:lang w:val="en-NZ"/>
        </w:rPr>
        <w:t xml:space="preserve"> (2001, 2002) </w:t>
      </w:r>
      <w:r w:rsidR="00211CA1">
        <w:rPr>
          <w:rFonts w:hAnsi="Times New Roman" w:cs="Times New Roman"/>
          <w:lang w:val="en-NZ"/>
        </w:rPr>
        <w:t>and Kluvers (2001)</w:t>
      </w:r>
      <w:r w:rsidRPr="002925AE">
        <w:rPr>
          <w:rFonts w:hAnsi="Times New Roman" w:cs="Times New Roman"/>
          <w:lang w:val="en-NZ"/>
        </w:rPr>
        <w:t xml:space="preserve">. </w:t>
      </w:r>
      <w:r w:rsidR="00211CA1">
        <w:rPr>
          <w:rFonts w:hAnsi="Times New Roman" w:cs="Times New Roman"/>
          <w:lang w:val="en-NZ"/>
        </w:rPr>
        <w:t xml:space="preserve">In particular, Kluvers (2001) </w:t>
      </w:r>
      <w:r w:rsidR="00886CE0">
        <w:rPr>
          <w:rFonts w:hAnsi="Times New Roman" w:cs="Times New Roman"/>
          <w:lang w:val="en-NZ"/>
        </w:rPr>
        <w:t>notes</w:t>
      </w:r>
      <w:r w:rsidR="00211CA1">
        <w:rPr>
          <w:rFonts w:hAnsi="Times New Roman" w:cs="Times New Roman"/>
          <w:lang w:val="en-NZ"/>
        </w:rPr>
        <w:t xml:space="preserve"> th</w:t>
      </w:r>
      <w:r w:rsidR="00C661C6">
        <w:rPr>
          <w:rFonts w:hAnsi="Times New Roman" w:cs="Times New Roman"/>
          <w:lang w:val="en-NZ"/>
        </w:rPr>
        <w:t>at, in parishes facing decline, th</w:t>
      </w:r>
      <w:r w:rsidR="00211CA1">
        <w:rPr>
          <w:rFonts w:hAnsi="Times New Roman" w:cs="Times New Roman"/>
          <w:lang w:val="en-NZ"/>
        </w:rPr>
        <w:t>e parish priest limited the ‘secular’ function of budgeting by taking control, or reducing the lay input into such processes</w:t>
      </w:r>
      <w:r w:rsidR="00C661C6">
        <w:rPr>
          <w:rFonts w:hAnsi="Times New Roman" w:cs="Times New Roman"/>
          <w:lang w:val="en-NZ"/>
        </w:rPr>
        <w:t xml:space="preserve">, while in growing (and younger) parishes, this was less likely to occur. </w:t>
      </w:r>
      <w:r w:rsidR="00211CA1">
        <w:rPr>
          <w:rFonts w:hAnsi="Times New Roman" w:cs="Times New Roman"/>
          <w:lang w:val="en-NZ"/>
        </w:rPr>
        <w:t xml:space="preserve"> </w:t>
      </w:r>
    </w:p>
    <w:p w:rsidR="00366B6D" w:rsidRPr="002925AE" w:rsidRDefault="00211CA1" w:rsidP="007D3040">
      <w:pPr>
        <w:spacing w:after="120" w:line="360" w:lineRule="auto"/>
        <w:ind w:firstLine="720"/>
        <w:rPr>
          <w:rFonts w:hAnsi="Times New Roman" w:cs="Times New Roman"/>
          <w:lang w:val="en-NZ"/>
        </w:rPr>
      </w:pPr>
      <w:r>
        <w:rPr>
          <w:rFonts w:hAnsi="Times New Roman" w:cs="Times New Roman"/>
          <w:lang w:val="en-NZ"/>
        </w:rPr>
        <w:t>Resource</w:t>
      </w:r>
      <w:r w:rsidR="000D1A57" w:rsidRPr="002925AE">
        <w:rPr>
          <w:rFonts w:hAnsi="Times New Roman" w:cs="Times New Roman"/>
          <w:lang w:val="en-NZ"/>
        </w:rPr>
        <w:t xml:space="preserve"> constraints are likely to cause tensions and a readiness to lay blame on ‘secular accounting’, when the ‘sacred mission’ cannot be achieved. While the sacred-secular divide has been used to describe the role of accounting in religious institutions, this theorisation has also been extended, for example, to the ‘caring professions’ (</w:t>
      </w:r>
      <w:r w:rsidR="00B5314A">
        <w:rPr>
          <w:rFonts w:hAnsi="Times New Roman" w:cs="Times New Roman"/>
          <w:lang w:val="en-NZ"/>
        </w:rPr>
        <w:t>see, for example,</w:t>
      </w:r>
      <w:r w:rsidR="000D1A57" w:rsidRPr="002925AE">
        <w:rPr>
          <w:rFonts w:hAnsi="Times New Roman" w:cs="Times New Roman"/>
          <w:lang w:val="en-NZ"/>
        </w:rPr>
        <w:t xml:space="preserve"> Broadbent, Dietrich and Laughlin, 1996) to explain the </w:t>
      </w:r>
      <w:r w:rsidR="000D1A57" w:rsidRPr="002925AE">
        <w:rPr>
          <w:rFonts w:hAnsi="Times New Roman" w:cs="Times New Roman"/>
          <w:lang w:val="en-NZ"/>
        </w:rPr>
        <w:lastRenderedPageBreak/>
        <w:t xml:space="preserve">clash when professionals believe their values/desires are being eroded or constrained by limited funds and other controls on spending.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In addition to an internal analysis, the sacred-secular divide has also been used to analyse the manner in which the government attempted to control the Spanish Brotherhoods from 1769 (Alvarez-Dardet Espejo, </w:t>
      </w:r>
      <w:r w:rsidR="000A15E4">
        <w:rPr>
          <w:rFonts w:hAnsi="Times New Roman" w:cs="Times New Roman"/>
          <w:lang w:val="en-NZ"/>
        </w:rPr>
        <w:t>et al.</w:t>
      </w:r>
      <w:r w:rsidRPr="002925AE">
        <w:rPr>
          <w:rFonts w:hAnsi="Times New Roman" w:cs="Times New Roman"/>
          <w:lang w:val="en-NZ"/>
        </w:rPr>
        <w:t xml:space="preserve">, 2006). The Brotherhoods were an important lay movement which encouraged and expanded public worship (including funding the celebration of religious festivals), undertook charitable activities and, more controversially at the time, also supported </w:t>
      </w:r>
      <w:r w:rsidR="00886CE0">
        <w:rPr>
          <w:rFonts w:hAnsi="Times New Roman" w:cs="Times New Roman"/>
          <w:lang w:val="en-NZ"/>
        </w:rPr>
        <w:t>‘</w:t>
      </w:r>
      <w:r w:rsidRPr="002925AE">
        <w:rPr>
          <w:rFonts w:hAnsi="Times New Roman" w:cs="Times New Roman"/>
          <w:lang w:val="en-NZ"/>
        </w:rPr>
        <w:t>profane</w:t>
      </w:r>
      <w:r w:rsidR="00886CE0">
        <w:rPr>
          <w:rFonts w:hAnsi="Times New Roman" w:cs="Times New Roman"/>
          <w:lang w:val="en-NZ"/>
        </w:rPr>
        <w:t>’</w:t>
      </w:r>
      <w:r w:rsidRPr="002925AE">
        <w:rPr>
          <w:rFonts w:hAnsi="Times New Roman" w:cs="Times New Roman"/>
          <w:lang w:val="en-NZ"/>
        </w:rPr>
        <w:t xml:space="preserve"> social activities (such as music, lunches etc.) (Alvarez-Dardet Espejo et al., 2006). Alvarez-Dardet Espejo et al. (2006) note that, in an attempt to diminish the influence of the church, the Spanish government sought accountability from these Brotherhoods, first by attempting to suppress their sacred activities but then, when this was unsuccessful, by requiring accountability for their expenditures on profane activities which (they believed) were corrupting the sacred sphere. It appears that the Brotherhoods reacted in much the same way as Lightbody’s (2000, 2003) financial managers, as described in the next sub-section. </w:t>
      </w:r>
    </w:p>
    <w:p w:rsidR="00366B6D" w:rsidRPr="002925AE" w:rsidRDefault="00F36201" w:rsidP="007D3040">
      <w:pPr>
        <w:spacing w:after="120" w:line="360" w:lineRule="auto"/>
        <w:ind w:firstLine="720"/>
        <w:rPr>
          <w:rFonts w:hAnsi="Times New Roman" w:cs="Times New Roman"/>
          <w:i/>
          <w:iCs/>
          <w:lang w:val="en-NZ"/>
        </w:rPr>
      </w:pPr>
      <w:r>
        <w:rPr>
          <w:rFonts w:hAnsi="Times New Roman" w:cs="Times New Roman"/>
          <w:i/>
          <w:iCs/>
          <w:lang w:val="en-NZ"/>
        </w:rPr>
        <w:t>Emphasising a</w:t>
      </w:r>
      <w:r w:rsidR="000D1A57" w:rsidRPr="002925AE">
        <w:rPr>
          <w:rFonts w:hAnsi="Times New Roman" w:cs="Times New Roman"/>
          <w:i/>
          <w:iCs/>
          <w:lang w:val="en-NZ"/>
        </w:rPr>
        <w:t xml:space="preserve">ccountability when </w:t>
      </w:r>
      <w:r>
        <w:rPr>
          <w:rFonts w:hAnsi="Times New Roman" w:cs="Times New Roman"/>
          <w:i/>
          <w:iCs/>
          <w:lang w:val="en-NZ"/>
        </w:rPr>
        <w:t>r</w:t>
      </w:r>
      <w:r w:rsidR="000D1A57" w:rsidRPr="002925AE">
        <w:rPr>
          <w:rFonts w:hAnsi="Times New Roman" w:cs="Times New Roman"/>
          <w:i/>
          <w:iCs/>
          <w:lang w:val="en-NZ"/>
        </w:rPr>
        <w:t xml:space="preserve">esources are </w:t>
      </w:r>
      <w:r>
        <w:rPr>
          <w:rFonts w:hAnsi="Times New Roman" w:cs="Times New Roman"/>
          <w:i/>
          <w:iCs/>
          <w:lang w:val="en-NZ"/>
        </w:rPr>
        <w:t>s</w:t>
      </w:r>
      <w:r w:rsidR="000D1A57" w:rsidRPr="002925AE">
        <w:rPr>
          <w:rFonts w:hAnsi="Times New Roman" w:cs="Times New Roman"/>
          <w:i/>
          <w:iCs/>
          <w:lang w:val="en-NZ"/>
        </w:rPr>
        <w:t>carce</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It may be that, in the struggle for resources, as spiritual or religious facets of life are secularised or have reduced influence, there is a need to improve accounting and financial practices, to better manage the available resources (as shown in Dobie, 2008b). Dobie’s (2008b) study of English priories from 1200-1500 </w:t>
      </w:r>
      <w:r w:rsidR="00886CE0">
        <w:rPr>
          <w:rFonts w:hAnsi="Times New Roman" w:cs="Times New Roman"/>
          <w:lang w:val="en-NZ"/>
        </w:rPr>
        <w:t>finds</w:t>
      </w:r>
      <w:r w:rsidRPr="002925AE">
        <w:rPr>
          <w:rFonts w:hAnsi="Times New Roman" w:cs="Times New Roman"/>
          <w:lang w:val="en-NZ"/>
        </w:rPr>
        <w:t xml:space="preserve"> that, in order to reduce financial vulnerability (due to a decline in popularity and increase in taxation), priories took managerial steps to increase efficiencies. Certainly the need for better information also saw the rise of management accounting (opportunity costs, temporal accounting and calculation of profitability) in the Monastery of Guadalupe (Llopis, Fidalgo, &amp; Méndez, 2002). The ‘livestock sheets’ compris</w:t>
      </w:r>
      <w:r w:rsidR="00886CE0">
        <w:rPr>
          <w:rFonts w:hAnsi="Times New Roman" w:cs="Times New Roman"/>
          <w:lang w:val="en-NZ"/>
        </w:rPr>
        <w:t>ing</w:t>
      </w:r>
      <w:r w:rsidRPr="002925AE">
        <w:rPr>
          <w:rFonts w:hAnsi="Times New Roman" w:cs="Times New Roman"/>
          <w:lang w:val="en-NZ"/>
        </w:rPr>
        <w:t xml:space="preserve"> this system, along with an austerity policy, “provided the Monastery with a way out of the economic crises during the seventeenth century” (Llopis et al., 2002: 220).</w:t>
      </w:r>
    </w:p>
    <w:p w:rsidR="00211CA1" w:rsidRDefault="000D1A57" w:rsidP="007D3040">
      <w:pPr>
        <w:spacing w:after="120" w:line="360" w:lineRule="auto"/>
        <w:ind w:firstLine="720"/>
        <w:rPr>
          <w:rFonts w:hAnsi="Times New Roman" w:cs="Times New Roman"/>
          <w:lang w:val="en-NZ"/>
        </w:rPr>
      </w:pPr>
      <w:r w:rsidRPr="002925AE">
        <w:rPr>
          <w:rFonts w:hAnsi="Times New Roman" w:cs="Times New Roman"/>
          <w:lang w:val="en-NZ"/>
        </w:rPr>
        <w:t>In another example of garnering resources, Irvine’s (2002) study of the early Salvation Arm</w:t>
      </w:r>
      <w:r w:rsidR="00886CE0">
        <w:rPr>
          <w:rFonts w:hAnsi="Times New Roman" w:cs="Times New Roman"/>
          <w:lang w:val="en-NZ"/>
        </w:rPr>
        <w:t>y in England (1865-1892) tracks</w:t>
      </w:r>
      <w:r w:rsidRPr="002925AE">
        <w:rPr>
          <w:rFonts w:hAnsi="Times New Roman" w:cs="Times New Roman"/>
          <w:lang w:val="en-NZ"/>
        </w:rPr>
        <w:t xml:space="preserve"> the development of novel fundraising tactics which were important for resourcing that denomination's social work. She </w:t>
      </w:r>
      <w:r w:rsidR="00886CE0">
        <w:rPr>
          <w:rFonts w:hAnsi="Times New Roman" w:cs="Times New Roman"/>
          <w:lang w:val="en-NZ"/>
        </w:rPr>
        <w:t>asserts that</w:t>
      </w:r>
      <w:r w:rsidRPr="002925AE">
        <w:rPr>
          <w:rFonts w:hAnsi="Times New Roman" w:cs="Times New Roman"/>
          <w:lang w:val="en-NZ"/>
        </w:rPr>
        <w:t xml:space="preserve"> resource-dependent organisations </w:t>
      </w:r>
      <w:r w:rsidR="00886CE0" w:rsidRPr="002925AE">
        <w:rPr>
          <w:rFonts w:hAnsi="Times New Roman" w:cs="Times New Roman"/>
          <w:lang w:val="en-NZ"/>
        </w:rPr>
        <w:t xml:space="preserve">need accounting </w:t>
      </w:r>
      <w:r w:rsidRPr="002925AE">
        <w:rPr>
          <w:rFonts w:hAnsi="Times New Roman" w:cs="Times New Roman"/>
          <w:lang w:val="en-NZ"/>
        </w:rPr>
        <w:t xml:space="preserve">to discharge </w:t>
      </w:r>
      <w:r w:rsidRPr="002925AE">
        <w:rPr>
          <w:rFonts w:hAnsi="Times New Roman" w:cs="Times New Roman"/>
          <w:lang w:val="en-NZ"/>
        </w:rPr>
        <w:lastRenderedPageBreak/>
        <w:t>accountability</w:t>
      </w:r>
      <w:r w:rsidR="00886CE0">
        <w:rPr>
          <w:rFonts w:hAnsi="Times New Roman" w:cs="Times New Roman"/>
          <w:lang w:val="en-NZ"/>
        </w:rPr>
        <w:t>,</w:t>
      </w:r>
      <w:r w:rsidRPr="002925AE">
        <w:rPr>
          <w:rFonts w:hAnsi="Times New Roman" w:cs="Times New Roman"/>
          <w:lang w:val="en-NZ"/>
        </w:rPr>
        <w:t xml:space="preserve"> and to assist in the continuing legitimacy of religious organisations </w:t>
      </w:r>
      <w:r w:rsidR="00886CE0">
        <w:rPr>
          <w:rFonts w:hAnsi="Times New Roman" w:cs="Times New Roman"/>
          <w:lang w:val="en-NZ"/>
        </w:rPr>
        <w:t>[</w:t>
      </w:r>
      <w:r w:rsidRPr="002925AE">
        <w:rPr>
          <w:rFonts w:hAnsi="Times New Roman" w:cs="Times New Roman"/>
          <w:lang w:val="en-NZ"/>
        </w:rPr>
        <w:t xml:space="preserve">as can </w:t>
      </w:r>
      <w:r w:rsidR="00886CE0">
        <w:rPr>
          <w:rFonts w:hAnsi="Times New Roman" w:cs="Times New Roman"/>
          <w:lang w:val="en-NZ"/>
        </w:rPr>
        <w:t xml:space="preserve">also </w:t>
      </w:r>
      <w:r w:rsidRPr="002925AE">
        <w:rPr>
          <w:rFonts w:hAnsi="Times New Roman" w:cs="Times New Roman"/>
          <w:lang w:val="en-NZ"/>
        </w:rPr>
        <w:t>be seen in Cordery’s</w:t>
      </w:r>
      <w:r w:rsidR="00886CE0">
        <w:rPr>
          <w:rFonts w:hAnsi="Times New Roman" w:cs="Times New Roman"/>
          <w:lang w:val="en-NZ"/>
        </w:rPr>
        <w:t xml:space="preserve">, </w:t>
      </w:r>
      <w:r w:rsidRPr="002925AE">
        <w:rPr>
          <w:rFonts w:hAnsi="Times New Roman" w:cs="Times New Roman"/>
          <w:lang w:val="en-NZ"/>
        </w:rPr>
        <w:t>2006 study of early Methodist missionaries in New Zealand (1819-1840)</w:t>
      </w:r>
      <w:r w:rsidR="00886CE0">
        <w:rPr>
          <w:rFonts w:hAnsi="Times New Roman" w:cs="Times New Roman"/>
          <w:lang w:val="en-NZ"/>
        </w:rPr>
        <w:t>]</w:t>
      </w:r>
      <w:r w:rsidRPr="002925AE">
        <w:rPr>
          <w:rFonts w:hAnsi="Times New Roman" w:cs="Times New Roman"/>
          <w:lang w:val="en-NZ"/>
        </w:rPr>
        <w:t xml:space="preserve">. </w:t>
      </w:r>
      <w:r w:rsidR="00886CE0">
        <w:rPr>
          <w:rFonts w:hAnsi="Times New Roman" w:cs="Times New Roman"/>
          <w:lang w:val="en-NZ"/>
        </w:rPr>
        <w:t>In this latter study,</w:t>
      </w:r>
      <w:r w:rsidR="0070092E">
        <w:rPr>
          <w:rFonts w:hAnsi="Times New Roman" w:cs="Times New Roman"/>
          <w:lang w:val="en-NZ"/>
        </w:rPr>
        <w:t xml:space="preserve"> Cordery (</w:t>
      </w:r>
      <w:r w:rsidR="00211CA1">
        <w:rPr>
          <w:rFonts w:hAnsi="Times New Roman" w:cs="Times New Roman"/>
          <w:lang w:val="en-NZ"/>
        </w:rPr>
        <w:t>2006) analyses whether the geographical distance from their English “Head Office” allowed the missionaries to be acculturated awa</w:t>
      </w:r>
      <w:r w:rsidR="0070092E">
        <w:rPr>
          <w:rFonts w:hAnsi="Times New Roman" w:cs="Times New Roman"/>
          <w:lang w:val="en-NZ"/>
        </w:rPr>
        <w:t>y</w:t>
      </w:r>
      <w:r w:rsidR="00211CA1">
        <w:rPr>
          <w:rFonts w:hAnsi="Times New Roman" w:cs="Times New Roman"/>
          <w:lang w:val="en-NZ"/>
        </w:rPr>
        <w:t xml:space="preserve"> from </w:t>
      </w:r>
      <w:r w:rsidR="0070092E">
        <w:rPr>
          <w:rFonts w:hAnsi="Times New Roman" w:cs="Times New Roman"/>
          <w:lang w:val="en-NZ"/>
        </w:rPr>
        <w:t>discharging</w:t>
      </w:r>
      <w:r w:rsidR="00211CA1">
        <w:rPr>
          <w:rFonts w:hAnsi="Times New Roman" w:cs="Times New Roman"/>
          <w:lang w:val="en-NZ"/>
        </w:rPr>
        <w:t xml:space="preserve"> accountability </w:t>
      </w:r>
      <w:r w:rsidR="0070092E">
        <w:rPr>
          <w:rFonts w:hAnsi="Times New Roman" w:cs="Times New Roman"/>
          <w:lang w:val="en-NZ"/>
        </w:rPr>
        <w:t>as expected. Ne</w:t>
      </w:r>
      <w:r w:rsidR="00211CA1">
        <w:rPr>
          <w:rFonts w:hAnsi="Times New Roman" w:cs="Times New Roman"/>
          <w:lang w:val="en-NZ"/>
        </w:rPr>
        <w:t>vertheless, the missionaries’ communication</w:t>
      </w:r>
      <w:r w:rsidR="0070092E">
        <w:rPr>
          <w:rFonts w:hAnsi="Times New Roman" w:cs="Times New Roman"/>
          <w:lang w:val="en-NZ"/>
        </w:rPr>
        <w:t>s</w:t>
      </w:r>
      <w:r w:rsidR="00211CA1">
        <w:rPr>
          <w:rFonts w:hAnsi="Times New Roman" w:cs="Times New Roman"/>
          <w:lang w:val="en-NZ"/>
        </w:rPr>
        <w:t xml:space="preserve"> included inventory records and ledger accounts, evidencing strong accountability for donated goods and funds.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This seeming lack of a divide between sacred and secular, and yet the need for donated resources to be accounted for and to be used wisely, can also be seen in holy texts, such as the rebuilding of Solomon’s Temple (see 2 Kings 12: 4-16 where, following the lack of work in rebuilding by the priests, the royal secretary and high priests jointly counted donations and handed them over to carpenters and builders who could undertake the necessary work). Barlev’s (2006) analysis of Moses’ leadership in Exodus 38:21-31, Talmud passages and midrashic parables, also highlight</w:t>
      </w:r>
      <w:r w:rsidR="00886CE0">
        <w:rPr>
          <w:rFonts w:hAnsi="Times New Roman" w:cs="Times New Roman"/>
          <w:lang w:val="en-NZ"/>
        </w:rPr>
        <w:t>s</w:t>
      </w:r>
      <w:r w:rsidRPr="002925AE">
        <w:rPr>
          <w:rFonts w:hAnsi="Times New Roman" w:cs="Times New Roman"/>
          <w:lang w:val="en-NZ"/>
        </w:rPr>
        <w:t xml:space="preserve"> accountability as a theme.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The use of accounting and accountability to control resource-depletion is not limited to historical examples (Dobie, 2008b; Bigoni et al., 2013), but is also prevalent in twenty-first century studies (for example, Jacobs, 2005; Hiebl &amp; Feldbauer-Durstmüller, 2014). However, accountants who carry out the record-keeping and control are often held responsible for the inherent tensions caused by such control, rather than an organisation recognising that the function is a necessity in order for it to achieve its goals in a resource-constrained context. Thus, a number of studies</w:t>
      </w:r>
      <w:r w:rsidR="00C661C6">
        <w:rPr>
          <w:rFonts w:hAnsi="Times New Roman" w:cs="Times New Roman"/>
          <w:lang w:val="en-NZ"/>
        </w:rPr>
        <w:t xml:space="preserve"> using data from the late twentieth century</w:t>
      </w:r>
      <w:r w:rsidRPr="002925AE">
        <w:rPr>
          <w:rFonts w:hAnsi="Times New Roman" w:cs="Times New Roman"/>
          <w:lang w:val="en-NZ"/>
        </w:rPr>
        <w:t xml:space="preserve"> analyse the strategies of accountants who join this struggle for control of scarce resources (Ligh</w:t>
      </w:r>
      <w:r w:rsidR="00C661C6">
        <w:rPr>
          <w:rFonts w:hAnsi="Times New Roman" w:cs="Times New Roman"/>
          <w:lang w:val="en-NZ"/>
        </w:rPr>
        <w:t>tbody, 2000, 2003; Parker, 2002</w:t>
      </w:r>
      <w:r w:rsidRPr="002925AE">
        <w:rPr>
          <w:rFonts w:hAnsi="Times New Roman" w:cs="Times New Roman"/>
          <w:lang w:val="en-NZ"/>
        </w:rPr>
        <w:t xml:space="preserve">). Laughlin (1990) shows the resource squeeze in a ten-year comparison of the Church of England’s expenditure and growing centralisation between 1973 and 1983, but not the actions of financial managers </w:t>
      </w:r>
      <w:r w:rsidRPr="002925AE">
        <w:rPr>
          <w:rFonts w:hAnsi="Times New Roman" w:cs="Times New Roman"/>
          <w:i/>
          <w:iCs/>
          <w:lang w:val="en-NZ"/>
        </w:rPr>
        <w:t>per se</w:t>
      </w:r>
      <w:r w:rsidRPr="002925AE">
        <w:rPr>
          <w:rFonts w:hAnsi="Times New Roman" w:cs="Times New Roman"/>
          <w:lang w:val="en-NZ"/>
        </w:rPr>
        <w:t xml:space="preserve">. </w:t>
      </w:r>
    </w:p>
    <w:p w:rsidR="00B23874" w:rsidRDefault="000D1A57" w:rsidP="007D3040">
      <w:pPr>
        <w:spacing w:after="120" w:line="360" w:lineRule="auto"/>
        <w:ind w:firstLine="720"/>
        <w:rPr>
          <w:rFonts w:hAnsi="Times New Roman" w:cs="Times New Roman"/>
          <w:lang w:val="en-NZ"/>
        </w:rPr>
      </w:pPr>
      <w:r w:rsidRPr="002925AE">
        <w:rPr>
          <w:rFonts w:hAnsi="Times New Roman" w:cs="Times New Roman"/>
          <w:lang w:val="en-NZ"/>
        </w:rPr>
        <w:t>Parker</w:t>
      </w:r>
      <w:r w:rsidR="006861F3">
        <w:rPr>
          <w:rFonts w:hAnsi="Times New Roman" w:cs="Times New Roman"/>
          <w:lang w:val="en-NZ"/>
        </w:rPr>
        <w:t>’s</w:t>
      </w:r>
      <w:r w:rsidRPr="002925AE">
        <w:rPr>
          <w:rFonts w:hAnsi="Times New Roman" w:cs="Times New Roman"/>
          <w:lang w:val="en-NZ"/>
        </w:rPr>
        <w:t xml:space="preserve"> (2001, 2002), </w:t>
      </w:r>
      <w:r w:rsidR="006861F3">
        <w:rPr>
          <w:rFonts w:hAnsi="Times New Roman" w:cs="Times New Roman"/>
          <w:lang w:val="en-NZ"/>
        </w:rPr>
        <w:t>investigation of</w:t>
      </w:r>
      <w:r w:rsidRPr="002925AE">
        <w:rPr>
          <w:rFonts w:hAnsi="Times New Roman" w:cs="Times New Roman"/>
          <w:lang w:val="en-NZ"/>
        </w:rPr>
        <w:t xml:space="preserve"> data from the </w:t>
      </w:r>
      <w:r w:rsidR="006861F3" w:rsidRPr="002925AE">
        <w:rPr>
          <w:rFonts w:hAnsi="Times New Roman" w:cs="Times New Roman"/>
          <w:lang w:val="en-NZ"/>
        </w:rPr>
        <w:t>Uniting Church Victoria Synod (Australia</w:t>
      </w:r>
      <w:r w:rsidR="006861F3">
        <w:rPr>
          <w:rFonts w:hAnsi="Times New Roman" w:cs="Times New Roman"/>
          <w:lang w:val="en-NZ"/>
        </w:rPr>
        <w:t>) in the</w:t>
      </w:r>
      <w:r w:rsidR="006861F3" w:rsidRPr="002925AE">
        <w:rPr>
          <w:rFonts w:hAnsi="Times New Roman" w:cs="Times New Roman"/>
          <w:lang w:val="en-NZ"/>
        </w:rPr>
        <w:t xml:space="preserve"> </w:t>
      </w:r>
      <w:r w:rsidRPr="002925AE">
        <w:rPr>
          <w:rFonts w:hAnsi="Times New Roman" w:cs="Times New Roman"/>
          <w:lang w:val="en-NZ"/>
        </w:rPr>
        <w:t xml:space="preserve">late 1980s, </w:t>
      </w:r>
      <w:r w:rsidR="00A614B9">
        <w:rPr>
          <w:rFonts w:hAnsi="Times New Roman" w:cs="Times New Roman"/>
          <w:lang w:val="en-NZ"/>
        </w:rPr>
        <w:t>finds</w:t>
      </w:r>
      <w:r w:rsidRPr="002925AE">
        <w:rPr>
          <w:rFonts w:hAnsi="Times New Roman" w:cs="Times New Roman"/>
          <w:lang w:val="en-NZ"/>
        </w:rPr>
        <w:t xml:space="preserve"> that this organisation’s emphasis on community and consultation, in conjunction with resource pressures, led to short term satisfici</w:t>
      </w:r>
      <w:r w:rsidR="0070092E">
        <w:rPr>
          <w:rFonts w:hAnsi="Times New Roman" w:cs="Times New Roman"/>
          <w:lang w:val="en-NZ"/>
        </w:rPr>
        <w:t>ng decisions rather than longer-</w:t>
      </w:r>
      <w:r w:rsidRPr="002925AE">
        <w:rPr>
          <w:rFonts w:hAnsi="Times New Roman" w:cs="Times New Roman"/>
          <w:lang w:val="en-NZ"/>
        </w:rPr>
        <w:t xml:space="preserve">term strategic planning. He </w:t>
      </w:r>
      <w:r w:rsidR="006861F3">
        <w:rPr>
          <w:rFonts w:hAnsi="Times New Roman" w:cs="Times New Roman"/>
          <w:lang w:val="en-NZ"/>
        </w:rPr>
        <w:t>terms</w:t>
      </w:r>
      <w:r w:rsidRPr="002925AE">
        <w:rPr>
          <w:rFonts w:hAnsi="Times New Roman" w:cs="Times New Roman"/>
          <w:lang w:val="en-NZ"/>
        </w:rPr>
        <w:t xml:space="preserve"> this ‘reactive planning’ (Parker, 2001). The church dealt with the complexities of its operations in what appeared to be a chaotic manner</w:t>
      </w:r>
      <w:r w:rsidR="0070092E">
        <w:rPr>
          <w:rFonts w:hAnsi="Times New Roman" w:cs="Times New Roman"/>
          <w:lang w:val="en-NZ"/>
        </w:rPr>
        <w:t>,</w:t>
      </w:r>
      <w:r w:rsidRPr="002925AE">
        <w:rPr>
          <w:rFonts w:hAnsi="Times New Roman" w:cs="Times New Roman"/>
          <w:lang w:val="en-NZ"/>
        </w:rPr>
        <w:t xml:space="preserve"> </w:t>
      </w:r>
      <w:r w:rsidR="0070092E">
        <w:rPr>
          <w:rFonts w:hAnsi="Times New Roman" w:cs="Times New Roman"/>
          <w:lang w:val="en-NZ"/>
        </w:rPr>
        <w:t>with</w:t>
      </w:r>
      <w:r w:rsidRPr="002925AE">
        <w:rPr>
          <w:rFonts w:hAnsi="Times New Roman" w:cs="Times New Roman"/>
          <w:lang w:val="en-NZ"/>
        </w:rPr>
        <w:t xml:space="preserve"> budget negotiations </w:t>
      </w:r>
      <w:r w:rsidR="0070092E">
        <w:rPr>
          <w:rFonts w:hAnsi="Times New Roman" w:cs="Times New Roman"/>
          <w:lang w:val="en-NZ"/>
        </w:rPr>
        <w:t>being</w:t>
      </w:r>
      <w:r w:rsidRPr="002925AE">
        <w:rPr>
          <w:rFonts w:hAnsi="Times New Roman" w:cs="Times New Roman"/>
          <w:lang w:val="en-NZ"/>
        </w:rPr>
        <w:t xml:space="preserve"> used to </w:t>
      </w:r>
      <w:r w:rsidRPr="002925AE">
        <w:rPr>
          <w:rFonts w:hAnsi="Times New Roman" w:cs="Times New Roman"/>
          <w:lang w:val="en-NZ"/>
        </w:rPr>
        <w:lastRenderedPageBreak/>
        <w:t xml:space="preserve">‘control’ and manage the </w:t>
      </w:r>
      <w:r w:rsidRPr="00FD014D">
        <w:rPr>
          <w:rFonts w:hAnsi="Times New Roman" w:cs="Times New Roman"/>
          <w:lang w:val="en-NZ"/>
        </w:rPr>
        <w:t xml:space="preserve">apparent contradictory and ambiguous attitudes within the organisation (Parker, 2002). This system may well be frowned upon by for-profit strategic management accountants, but is prevalent in other not-for-profit organisations </w:t>
      </w:r>
      <w:r w:rsidR="00FD014D">
        <w:rPr>
          <w:rFonts w:hAnsi="Times New Roman" w:cs="Times New Roman"/>
          <w:lang w:val="en-NZ"/>
        </w:rPr>
        <w:t>(</w:t>
      </w:r>
      <w:r w:rsidR="006861F3">
        <w:rPr>
          <w:rFonts w:hAnsi="Times New Roman" w:cs="Times New Roman"/>
          <w:lang w:val="en-NZ"/>
        </w:rPr>
        <w:t xml:space="preserve">for example, </w:t>
      </w:r>
      <w:r w:rsidR="00B23874">
        <w:rPr>
          <w:rFonts w:hAnsi="Times New Roman" w:cs="Times New Roman"/>
          <w:lang w:val="en-NZ"/>
        </w:rPr>
        <w:t xml:space="preserve">Hatten, 1982; Crittenden, 2000; </w:t>
      </w:r>
      <w:r w:rsidR="00FD014D">
        <w:rPr>
          <w:rFonts w:hAnsi="Times New Roman" w:cs="Times New Roman"/>
          <w:lang w:val="en-NZ"/>
        </w:rPr>
        <w:t>Kluvers, 2001)</w:t>
      </w:r>
    </w:p>
    <w:p w:rsidR="00C661C6"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To inform us of possible strategies used by church financial managers in resource-constrained organisations, Lightbody’s (2000, 2003) study dichotomises ‘shielding’ sources of income from other budget participants (i.e. hiding them from view) and ‘storing’ or conserving funds so that the scarce resources are not depleted. Alvarez-Dardet Espejo et al.’s (2006) study provid</w:t>
      </w:r>
      <w:r w:rsidR="002F3DFE">
        <w:rPr>
          <w:rFonts w:hAnsi="Times New Roman" w:cs="Times New Roman"/>
          <w:lang w:val="en-NZ"/>
        </w:rPr>
        <w:t>es</w:t>
      </w:r>
      <w:r w:rsidRPr="002925AE">
        <w:rPr>
          <w:rFonts w:hAnsi="Times New Roman" w:cs="Times New Roman"/>
          <w:lang w:val="en-NZ"/>
        </w:rPr>
        <w:t xml:space="preserve"> an historical manifestation of this type of behaviour</w:t>
      </w:r>
      <w:r w:rsidR="002F3DFE">
        <w:rPr>
          <w:rFonts w:hAnsi="Times New Roman" w:cs="Times New Roman"/>
          <w:lang w:val="en-NZ"/>
        </w:rPr>
        <w:t xml:space="preserve"> which</w:t>
      </w:r>
      <w:r w:rsidRPr="002925AE">
        <w:rPr>
          <w:rFonts w:hAnsi="Times New Roman" w:cs="Times New Roman"/>
          <w:lang w:val="en-NZ"/>
        </w:rPr>
        <w:t xml:space="preserve"> continues, as shown in the recent statement from Cardinal George Pell, the Roman Catholic Prefect of the Secretariat for the Economy at the Vatican.</w:t>
      </w:r>
      <w:r w:rsidRPr="002925AE">
        <w:rPr>
          <w:rFonts w:hAnsi="Times New Roman" w:cs="Times New Roman"/>
          <w:vertAlign w:val="superscript"/>
          <w:lang w:val="en-NZ"/>
        </w:rPr>
        <w:endnoteReference w:id="8"/>
      </w:r>
      <w:r w:rsidRPr="002925AE">
        <w:rPr>
          <w:rFonts w:hAnsi="Times New Roman" w:cs="Times New Roman"/>
          <w:lang w:val="en-NZ"/>
        </w:rPr>
        <w:t xml:space="preserve"> </w:t>
      </w:r>
    </w:p>
    <w:p w:rsidR="00456AEE" w:rsidRDefault="002F3DFE" w:rsidP="007D3040">
      <w:pPr>
        <w:spacing w:after="120" w:line="360" w:lineRule="auto"/>
        <w:ind w:firstLine="720"/>
        <w:rPr>
          <w:rFonts w:hAnsi="Times New Roman" w:cs="Times New Roman"/>
          <w:lang w:val="en-NZ"/>
        </w:rPr>
      </w:pPr>
      <w:r>
        <w:rPr>
          <w:rFonts w:hAnsi="Times New Roman" w:cs="Times New Roman"/>
          <w:lang w:val="en-NZ"/>
        </w:rPr>
        <w:t>Roca (2010</w:t>
      </w:r>
      <w:r w:rsidR="004B5E75">
        <w:rPr>
          <w:rFonts w:hAnsi="Times New Roman" w:cs="Times New Roman"/>
          <w:lang w:val="en-NZ"/>
        </w:rPr>
        <w:t>: 243</w:t>
      </w:r>
      <w:r>
        <w:rPr>
          <w:rFonts w:hAnsi="Times New Roman" w:cs="Times New Roman"/>
          <w:lang w:val="en-NZ"/>
        </w:rPr>
        <w:t xml:space="preserve">) </w:t>
      </w:r>
      <w:r w:rsidR="006861F3">
        <w:rPr>
          <w:rFonts w:hAnsi="Times New Roman" w:cs="Times New Roman"/>
          <w:lang w:val="en-NZ"/>
        </w:rPr>
        <w:t>researches</w:t>
      </w:r>
      <w:r w:rsidR="004B5E75">
        <w:rPr>
          <w:rFonts w:hAnsi="Times New Roman" w:cs="Times New Roman"/>
          <w:lang w:val="en-NZ"/>
        </w:rPr>
        <w:t xml:space="preserve"> similar behaviour in the Benedictines of Montserrat (1900-1936), who had been previously subjected to a “pendulum-like motion between pro-clerical and anticlerical governments”. In 1890</w:t>
      </w:r>
      <w:r w:rsidR="00F36201">
        <w:rPr>
          <w:rFonts w:hAnsi="Times New Roman" w:cs="Times New Roman"/>
          <w:lang w:val="en-NZ"/>
        </w:rPr>
        <w:t>,</w:t>
      </w:r>
      <w:r w:rsidR="004B5E75">
        <w:rPr>
          <w:rFonts w:hAnsi="Times New Roman" w:cs="Times New Roman"/>
          <w:lang w:val="en-NZ"/>
        </w:rPr>
        <w:t xml:space="preserve"> money and jewels were hidden (in fear of state theft)</w:t>
      </w:r>
      <w:r w:rsidR="00211CA1">
        <w:rPr>
          <w:rFonts w:hAnsi="Times New Roman" w:cs="Times New Roman"/>
          <w:lang w:val="en-NZ"/>
        </w:rPr>
        <w:t>,</w:t>
      </w:r>
      <w:r w:rsidR="004B5E75">
        <w:rPr>
          <w:rFonts w:hAnsi="Times New Roman" w:cs="Times New Roman"/>
          <w:lang w:val="en-NZ"/>
        </w:rPr>
        <w:t xml:space="preserve"> but by the early 1900s</w:t>
      </w:r>
      <w:r w:rsidR="00A614B9">
        <w:rPr>
          <w:rFonts w:hAnsi="Times New Roman" w:cs="Times New Roman"/>
          <w:lang w:val="en-NZ"/>
        </w:rPr>
        <w:t>,</w:t>
      </w:r>
      <w:r w:rsidR="004B5E75">
        <w:rPr>
          <w:rFonts w:hAnsi="Times New Roman" w:cs="Times New Roman"/>
          <w:lang w:val="en-NZ"/>
        </w:rPr>
        <w:t xml:space="preserve"> the community received approval from Rome to </w:t>
      </w:r>
      <w:r w:rsidR="00C661C6">
        <w:rPr>
          <w:rFonts w:hAnsi="Times New Roman" w:cs="Times New Roman"/>
          <w:lang w:val="en-NZ"/>
        </w:rPr>
        <w:t>secure</w:t>
      </w:r>
      <w:r w:rsidR="004B5E75">
        <w:rPr>
          <w:rFonts w:hAnsi="Times New Roman" w:cs="Times New Roman"/>
          <w:lang w:val="en-NZ"/>
        </w:rPr>
        <w:t xml:space="preserve"> property </w:t>
      </w:r>
      <w:r w:rsidR="00C661C6">
        <w:rPr>
          <w:rFonts w:hAnsi="Times New Roman" w:cs="Times New Roman"/>
          <w:lang w:val="en-NZ"/>
        </w:rPr>
        <w:t>by vesting it in individual monks</w:t>
      </w:r>
      <w:r w:rsidR="004B5E75">
        <w:rPr>
          <w:rFonts w:hAnsi="Times New Roman" w:cs="Times New Roman"/>
          <w:lang w:val="en-NZ"/>
        </w:rPr>
        <w:t>. By 1913</w:t>
      </w:r>
      <w:r w:rsidR="00A614B9">
        <w:rPr>
          <w:rFonts w:hAnsi="Times New Roman" w:cs="Times New Roman"/>
          <w:lang w:val="en-NZ"/>
        </w:rPr>
        <w:t>,</w:t>
      </w:r>
      <w:r w:rsidR="004B5E75">
        <w:rPr>
          <w:rFonts w:hAnsi="Times New Roman" w:cs="Times New Roman"/>
          <w:lang w:val="en-NZ"/>
        </w:rPr>
        <w:t xml:space="preserve"> a public company was established. While this </w:t>
      </w:r>
      <w:r w:rsidR="00A614B9">
        <w:rPr>
          <w:rFonts w:hAnsi="Times New Roman" w:cs="Times New Roman"/>
          <w:lang w:val="en-NZ"/>
        </w:rPr>
        <w:t>is</w:t>
      </w:r>
      <w:r w:rsidR="004B5E75">
        <w:rPr>
          <w:rFonts w:hAnsi="Times New Roman" w:cs="Times New Roman"/>
          <w:lang w:val="en-NZ"/>
        </w:rPr>
        <w:t xml:space="preserve"> </w:t>
      </w:r>
      <w:r w:rsidR="00211CA1">
        <w:rPr>
          <w:rFonts w:hAnsi="Times New Roman" w:cs="Times New Roman"/>
          <w:lang w:val="en-NZ"/>
        </w:rPr>
        <w:t xml:space="preserve">a </w:t>
      </w:r>
      <w:r w:rsidR="004B5E75">
        <w:rPr>
          <w:rFonts w:hAnsi="Times New Roman" w:cs="Times New Roman"/>
          <w:lang w:val="en-NZ"/>
        </w:rPr>
        <w:t xml:space="preserve">similar </w:t>
      </w:r>
      <w:r w:rsidR="00211CA1">
        <w:rPr>
          <w:rFonts w:hAnsi="Times New Roman" w:cs="Times New Roman"/>
          <w:lang w:val="en-NZ"/>
        </w:rPr>
        <w:t xml:space="preserve">tactic </w:t>
      </w:r>
      <w:r w:rsidR="004B5E75">
        <w:rPr>
          <w:rFonts w:hAnsi="Times New Roman" w:cs="Times New Roman"/>
          <w:lang w:val="en-NZ"/>
        </w:rPr>
        <w:t xml:space="preserve">to that used by the Jesuits from 1883, unlike them, the Benedictines ensured that their beneficial ownership was masked. </w:t>
      </w:r>
      <w:r w:rsidR="00456AEE">
        <w:rPr>
          <w:rFonts w:hAnsi="Times New Roman" w:cs="Times New Roman"/>
          <w:lang w:val="en-NZ"/>
        </w:rPr>
        <w:t>Further fear of expulsion (from 1934) brought a change of objectives to focus on liquidity and growing commercial services. Such defensive strategies ensured the continu</w:t>
      </w:r>
      <w:r w:rsidR="0070092E">
        <w:rPr>
          <w:rFonts w:hAnsi="Times New Roman" w:cs="Times New Roman"/>
          <w:lang w:val="en-NZ"/>
        </w:rPr>
        <w:t>ed success of this enterprise</w:t>
      </w:r>
      <w:r w:rsidR="00456AEE">
        <w:rPr>
          <w:rFonts w:hAnsi="Times New Roman" w:cs="Times New Roman"/>
          <w:lang w:val="en-NZ"/>
        </w:rPr>
        <w:t>.</w:t>
      </w:r>
      <w:r w:rsidR="0070092E">
        <w:rPr>
          <w:rStyle w:val="EndnoteReference"/>
          <w:rFonts w:hAnsi="Times New Roman" w:cs="Times New Roman"/>
          <w:lang w:val="en-NZ"/>
        </w:rPr>
        <w:endnoteReference w:id="9"/>
      </w:r>
      <w:r w:rsidR="00456AEE">
        <w:rPr>
          <w:rFonts w:hAnsi="Times New Roman" w:cs="Times New Roman"/>
          <w:lang w:val="en-NZ"/>
        </w:rPr>
        <w:t xml:space="preserve"> </w:t>
      </w:r>
      <w:r w:rsidR="000D1A57"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Analysing 151 German-speaking Swiss and West German </w:t>
      </w:r>
      <w:r w:rsidR="00456AEE">
        <w:rPr>
          <w:rFonts w:hAnsi="Times New Roman" w:cs="Times New Roman"/>
          <w:lang w:val="en-NZ"/>
        </w:rPr>
        <w:t xml:space="preserve">Benedictine </w:t>
      </w:r>
      <w:r w:rsidRPr="002925AE">
        <w:rPr>
          <w:rFonts w:hAnsi="Times New Roman" w:cs="Times New Roman"/>
          <w:lang w:val="en-NZ"/>
        </w:rPr>
        <w:t xml:space="preserve">abbeys from 1000AD to the present day, Rost </w:t>
      </w:r>
      <w:r w:rsidR="00C0723B">
        <w:rPr>
          <w:rFonts w:hAnsi="Times New Roman" w:cs="Times New Roman"/>
          <w:lang w:val="en-NZ"/>
        </w:rPr>
        <w:t>et al.</w:t>
      </w:r>
      <w:r w:rsidRPr="002925AE">
        <w:rPr>
          <w:rFonts w:hAnsi="Times New Roman" w:cs="Times New Roman"/>
          <w:lang w:val="en-NZ"/>
        </w:rPr>
        <w:t xml:space="preserve"> (2010) discuss corporate governance and agency problems that may </w:t>
      </w:r>
      <w:r w:rsidR="00C0723B">
        <w:rPr>
          <w:rFonts w:hAnsi="Times New Roman" w:cs="Times New Roman"/>
          <w:lang w:val="en-NZ"/>
        </w:rPr>
        <w:t>impair</w:t>
      </w:r>
      <w:r w:rsidRPr="002925AE">
        <w:rPr>
          <w:rFonts w:hAnsi="Times New Roman" w:cs="Times New Roman"/>
          <w:lang w:val="en-NZ"/>
        </w:rPr>
        <w:t xml:space="preserve"> an organisation’s performance. Only 26 of these monasteries still exist, with the great majority closing due to external factors (for example, secularization). Nevertheless 20 (13.2 per cent) were identified as closing due to mismanagement and nine (6 per cent) due to control problems. Rost et al. (2010</w:t>
      </w:r>
      <w:r w:rsidR="00733F53">
        <w:rPr>
          <w:rFonts w:hAnsi="Times New Roman" w:cs="Times New Roman"/>
          <w:lang w:val="en-NZ"/>
        </w:rPr>
        <w:t>: 97</w:t>
      </w:r>
      <w:r w:rsidRPr="002925AE">
        <w:rPr>
          <w:rFonts w:hAnsi="Times New Roman" w:cs="Times New Roman"/>
          <w:lang w:val="en-NZ"/>
        </w:rPr>
        <w:t xml:space="preserve">) cite this low level of endogenous failure as evidence that the </w:t>
      </w:r>
      <w:r w:rsidR="00733F53">
        <w:rPr>
          <w:rFonts w:hAnsi="Times New Roman" w:cs="Times New Roman"/>
          <w:lang w:val="en-NZ"/>
        </w:rPr>
        <w:t xml:space="preserve">embedded Benedictine </w:t>
      </w:r>
      <w:r w:rsidRPr="002925AE">
        <w:rPr>
          <w:rFonts w:hAnsi="Times New Roman" w:cs="Times New Roman"/>
          <w:lang w:val="en-NZ"/>
        </w:rPr>
        <w:t xml:space="preserve">control framework </w:t>
      </w:r>
      <w:r w:rsidR="00733F53">
        <w:rPr>
          <w:rFonts w:hAnsi="Times New Roman" w:cs="Times New Roman"/>
          <w:lang w:val="en-NZ"/>
        </w:rPr>
        <w:t>can “solve principal-agency problems”</w:t>
      </w:r>
      <w:r w:rsidRPr="002925AE">
        <w:rPr>
          <w:rFonts w:hAnsi="Times New Roman" w:cs="Times New Roman"/>
          <w:lang w:val="en-NZ"/>
        </w:rPr>
        <w:t>. It comprises: common values and integration of new members, internal monitoring (of monks by monks), and democratic governance by the Benedictine Congregation.</w:t>
      </w:r>
    </w:p>
    <w:p w:rsidR="00456AEE" w:rsidRPr="002925AE" w:rsidRDefault="00456AEE" w:rsidP="007D3040">
      <w:pPr>
        <w:spacing w:after="120" w:line="360" w:lineRule="auto"/>
        <w:ind w:firstLine="720"/>
        <w:rPr>
          <w:rFonts w:hAnsi="Times New Roman" w:cs="Times New Roman"/>
          <w:lang w:val="en-NZ"/>
        </w:rPr>
      </w:pPr>
      <w:r>
        <w:rPr>
          <w:rFonts w:hAnsi="Times New Roman" w:cs="Times New Roman"/>
          <w:lang w:val="en-NZ"/>
        </w:rPr>
        <w:lastRenderedPageBreak/>
        <w:t>The cellarer is an important internal monitor in abbeys and</w:t>
      </w:r>
      <w:r w:rsidR="000D1A57" w:rsidRPr="002925AE">
        <w:rPr>
          <w:rFonts w:hAnsi="Times New Roman" w:cs="Times New Roman"/>
          <w:lang w:val="en-NZ"/>
        </w:rPr>
        <w:t xml:space="preserve"> Prieto, </w:t>
      </w:r>
      <w:r w:rsidR="000A15E4">
        <w:rPr>
          <w:rFonts w:hAnsi="Times New Roman" w:cs="Times New Roman"/>
          <w:lang w:val="en-NZ"/>
        </w:rPr>
        <w:t>et al.</w:t>
      </w:r>
      <w:r w:rsidR="000D1A57" w:rsidRPr="002925AE">
        <w:rPr>
          <w:rFonts w:hAnsi="Times New Roman" w:cs="Times New Roman"/>
          <w:lang w:val="en-NZ"/>
        </w:rPr>
        <w:t xml:space="preserve"> (2006) provide an historical view of the cellarer’s role in Silos (Spain) in the eighteenth century. They </w:t>
      </w:r>
      <w:r w:rsidR="00C661C6">
        <w:rPr>
          <w:rFonts w:hAnsi="Times New Roman" w:cs="Times New Roman"/>
          <w:lang w:val="en-NZ"/>
        </w:rPr>
        <w:t>state</w:t>
      </w:r>
      <w:r w:rsidR="000D1A57" w:rsidRPr="002925AE">
        <w:rPr>
          <w:rFonts w:hAnsi="Times New Roman" w:cs="Times New Roman"/>
          <w:lang w:val="en-NZ"/>
        </w:rPr>
        <w:t xml:space="preserve"> that, by working through the 67 chapters of the cellarers’ training manual (</w:t>
      </w:r>
      <w:r w:rsidR="000D1A57" w:rsidRPr="002925AE">
        <w:rPr>
          <w:rFonts w:hAnsi="Times New Roman" w:cs="Times New Roman"/>
          <w:i/>
          <w:iCs/>
          <w:lang w:val="en-NZ"/>
        </w:rPr>
        <w:t>Indirizzo digri Economica</w:t>
      </w:r>
      <w:r w:rsidR="000D1A57" w:rsidRPr="002925AE">
        <w:rPr>
          <w:rFonts w:hAnsi="Times New Roman" w:cs="Times New Roman"/>
          <w:lang w:val="en-NZ"/>
        </w:rPr>
        <w:t>) written in 1586, cellarers could become proficient in a modified double entry bookkeeping system. This system provided information for decision-making, as well as enabling the cellarer to discharge accountability to their monastery council and the wider church (Prieto et al., 2006)</w:t>
      </w:r>
      <w:r w:rsidR="0070092E">
        <w:rPr>
          <w:rFonts w:hAnsi="Times New Roman" w:cs="Times New Roman"/>
          <w:lang w:val="en-NZ"/>
        </w:rPr>
        <w:t>.</w:t>
      </w:r>
      <w:r w:rsidR="0070092E">
        <w:rPr>
          <w:rStyle w:val="EndnoteReference"/>
          <w:rFonts w:hAnsi="Times New Roman" w:cs="Times New Roman"/>
          <w:lang w:val="en-NZ"/>
        </w:rPr>
        <w:endnoteReference w:id="10"/>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While recognising the call for alternative framings of the tension between mission and resources (potentially ‘sacred’ and ‘secular’) and the need to be accountable to external and internal stakeholders, these studies of internal strategies may provide a fruitful base from which to generate a more informed typology of religious organisation types and accountants’ roles within them.  </w:t>
      </w:r>
      <w:r w:rsidR="00B23874">
        <w:rPr>
          <w:rFonts w:hAnsi="Times New Roman" w:cs="Times New Roman"/>
          <w:lang w:val="en-NZ"/>
        </w:rPr>
        <w:t>For example, Hardy and Ballis (2005) draw on Niebuhr’s narrative history,</w:t>
      </w:r>
      <w:r w:rsidR="006861F3">
        <w:rPr>
          <w:rFonts w:hAnsi="Times New Roman" w:cs="Times New Roman"/>
          <w:lang w:val="en-NZ"/>
        </w:rPr>
        <w:t xml:space="preserve"> while</w:t>
      </w:r>
      <w:r w:rsidR="00B23874">
        <w:rPr>
          <w:rFonts w:hAnsi="Times New Roman" w:cs="Times New Roman"/>
          <w:lang w:val="en-NZ"/>
        </w:rPr>
        <w:t xml:space="preserve"> other authors in the not-for-profit sector </w:t>
      </w:r>
      <w:r w:rsidR="00B23874" w:rsidRPr="002925AE">
        <w:rPr>
          <w:rFonts w:hAnsi="Times New Roman" w:cs="Times New Roman"/>
          <w:lang w:val="en-NZ"/>
        </w:rPr>
        <w:t xml:space="preserve">(for example, Froelich, 1999; </w:t>
      </w:r>
      <w:r w:rsidR="00154744">
        <w:rPr>
          <w:rFonts w:hAnsi="Times New Roman" w:cs="Times New Roman"/>
          <w:lang w:val="en-NZ"/>
        </w:rPr>
        <w:t xml:space="preserve">Irvine, 2002; </w:t>
      </w:r>
      <w:r w:rsidR="00B23874" w:rsidRPr="002925AE">
        <w:rPr>
          <w:rFonts w:hAnsi="Times New Roman" w:cs="Times New Roman"/>
          <w:lang w:val="en-NZ"/>
        </w:rPr>
        <w:t>Mourey, Eynaud, &amp; Cordery, 2013)</w:t>
      </w:r>
      <w:r w:rsidR="00B23874">
        <w:rPr>
          <w:rFonts w:hAnsi="Times New Roman" w:cs="Times New Roman"/>
          <w:lang w:val="en-NZ"/>
        </w:rPr>
        <w:t xml:space="preserve"> draw on </w:t>
      </w:r>
      <w:r w:rsidR="00B23874" w:rsidRPr="002925AE">
        <w:rPr>
          <w:rFonts w:hAnsi="Times New Roman" w:cs="Times New Roman"/>
          <w:lang w:val="en-NZ"/>
        </w:rPr>
        <w:t>resource dependency</w:t>
      </w:r>
      <w:r w:rsidR="00154744">
        <w:rPr>
          <w:rFonts w:hAnsi="Times New Roman" w:cs="Times New Roman"/>
          <w:lang w:val="en-NZ"/>
        </w:rPr>
        <w:t xml:space="preserve"> or legitimacy theories to explain organisational responses to constraints. These </w:t>
      </w:r>
      <w:r w:rsidR="006861F3">
        <w:rPr>
          <w:rFonts w:hAnsi="Times New Roman" w:cs="Times New Roman"/>
          <w:lang w:val="en-NZ"/>
        </w:rPr>
        <w:t xml:space="preserve">theories </w:t>
      </w:r>
      <w:r w:rsidR="00154744">
        <w:rPr>
          <w:rFonts w:hAnsi="Times New Roman" w:cs="Times New Roman"/>
          <w:lang w:val="en-NZ"/>
        </w:rPr>
        <w:t xml:space="preserve">may provide a way forward for future researchers in this area. </w:t>
      </w:r>
    </w:p>
    <w:p w:rsidR="00366B6D" w:rsidRPr="002925AE" w:rsidRDefault="00366B6D" w:rsidP="007D3040">
      <w:pPr>
        <w:spacing w:after="120" w:line="360" w:lineRule="auto"/>
        <w:ind w:firstLine="720"/>
        <w:rPr>
          <w:rFonts w:hAnsi="Times New Roman" w:cs="Times New Roman"/>
          <w:lang w:val="en-NZ"/>
        </w:rPr>
      </w:pPr>
    </w:p>
    <w:p w:rsidR="00366B6D" w:rsidRPr="007D3040" w:rsidRDefault="000D1A57" w:rsidP="007D3040">
      <w:pPr>
        <w:spacing w:after="120" w:line="360" w:lineRule="auto"/>
        <w:rPr>
          <w:b/>
          <w:bCs/>
          <w:lang w:val="en-NZ"/>
        </w:rPr>
      </w:pPr>
      <w:r w:rsidRPr="007D3040">
        <w:rPr>
          <w:b/>
          <w:bCs/>
          <w:lang w:val="en-NZ"/>
        </w:rPr>
        <w:t xml:space="preserve">5. Institutional scenarios </w:t>
      </w:r>
      <w:r w:rsidRPr="007D3040">
        <w:rPr>
          <w:b/>
          <w:bCs/>
          <w:lang w:val="en-NZ"/>
        </w:rPr>
        <w:t>–</w:t>
      </w:r>
      <w:r w:rsidRPr="007D3040">
        <w:rPr>
          <w:b/>
          <w:bCs/>
          <w:lang w:val="en-NZ"/>
        </w:rPr>
        <w:t xml:space="preserve"> religious enterprise</w:t>
      </w:r>
    </w:p>
    <w:p w:rsidR="00366B6D" w:rsidRPr="002925AE" w:rsidRDefault="000D1A57" w:rsidP="007D3040">
      <w:pPr>
        <w:spacing w:after="120" w:line="360" w:lineRule="auto"/>
        <w:rPr>
          <w:rFonts w:hAnsi="Times New Roman" w:cs="Times New Roman"/>
          <w:lang w:val="en-NZ"/>
        </w:rPr>
      </w:pPr>
      <w:r w:rsidRPr="002925AE">
        <w:rPr>
          <w:rFonts w:hAnsi="Times New Roman" w:cs="Times New Roman"/>
          <w:lang w:val="en-NZ"/>
        </w:rPr>
        <w:t xml:space="preserve">Core to accounting is the revenue that finances operations and expansion. Accountability demands require an answer </w:t>
      </w:r>
      <w:r w:rsidR="00154744">
        <w:rPr>
          <w:rFonts w:hAnsi="Times New Roman" w:cs="Times New Roman"/>
          <w:lang w:val="en-NZ"/>
        </w:rPr>
        <w:t xml:space="preserve">from those who have provided the resources, </w:t>
      </w:r>
      <w:r w:rsidRPr="002925AE">
        <w:rPr>
          <w:rFonts w:hAnsi="Times New Roman" w:cs="Times New Roman"/>
          <w:lang w:val="en-NZ"/>
        </w:rPr>
        <w:t>as to</w:t>
      </w:r>
      <w:r w:rsidR="00154744">
        <w:rPr>
          <w:rFonts w:hAnsi="Times New Roman" w:cs="Times New Roman"/>
          <w:lang w:val="en-NZ"/>
        </w:rPr>
        <w:t xml:space="preserve"> </w:t>
      </w:r>
      <w:r w:rsidRPr="002925AE">
        <w:rPr>
          <w:rFonts w:hAnsi="Times New Roman" w:cs="Times New Roman"/>
          <w:lang w:val="en-NZ"/>
        </w:rPr>
        <w:t xml:space="preserve">how </w:t>
      </w:r>
      <w:r w:rsidR="00154744">
        <w:rPr>
          <w:rFonts w:hAnsi="Times New Roman" w:cs="Times New Roman"/>
          <w:lang w:val="en-NZ"/>
        </w:rPr>
        <w:t>it</w:t>
      </w:r>
      <w:r w:rsidRPr="002925AE">
        <w:rPr>
          <w:rFonts w:hAnsi="Times New Roman" w:cs="Times New Roman"/>
          <w:lang w:val="en-NZ"/>
        </w:rPr>
        <w:t xml:space="preserve"> has been used</w:t>
      </w:r>
      <w:r w:rsidR="00154744">
        <w:rPr>
          <w:rFonts w:hAnsi="Times New Roman" w:cs="Times New Roman"/>
          <w:lang w:val="en-NZ"/>
        </w:rPr>
        <w:t>. While</w:t>
      </w:r>
      <w:r w:rsidRPr="002925AE">
        <w:rPr>
          <w:rFonts w:hAnsi="Times New Roman" w:cs="Times New Roman"/>
          <w:lang w:val="en-NZ"/>
        </w:rPr>
        <w:t xml:space="preserve"> </w:t>
      </w:r>
      <w:r w:rsidR="00154744">
        <w:rPr>
          <w:rFonts w:hAnsi="Times New Roman" w:cs="Times New Roman"/>
          <w:lang w:val="en-NZ"/>
        </w:rPr>
        <w:t xml:space="preserve">Laughlin (1988) notes that </w:t>
      </w:r>
      <w:r w:rsidR="00154744" w:rsidRPr="002925AE">
        <w:rPr>
          <w:rFonts w:hAnsi="Times New Roman" w:cs="Times New Roman"/>
          <w:lang w:val="en-NZ"/>
        </w:rPr>
        <w:t xml:space="preserve">much of the financing for </w:t>
      </w:r>
      <w:r w:rsidR="00154744">
        <w:rPr>
          <w:rFonts w:hAnsi="Times New Roman" w:cs="Times New Roman"/>
          <w:lang w:val="en-NZ"/>
        </w:rPr>
        <w:t xml:space="preserve">the </w:t>
      </w:r>
      <w:r w:rsidRPr="002925AE">
        <w:rPr>
          <w:rFonts w:hAnsi="Times New Roman" w:cs="Times New Roman"/>
          <w:lang w:val="en-NZ"/>
        </w:rPr>
        <w:t xml:space="preserve">Judeo-Christian </w:t>
      </w:r>
      <w:r w:rsidR="00154744" w:rsidRPr="002925AE">
        <w:rPr>
          <w:rFonts w:hAnsi="Times New Roman" w:cs="Times New Roman"/>
          <w:lang w:val="en-NZ"/>
        </w:rPr>
        <w:t>effort come</w:t>
      </w:r>
      <w:r w:rsidR="00154744">
        <w:rPr>
          <w:rFonts w:hAnsi="Times New Roman" w:cs="Times New Roman"/>
          <w:lang w:val="en-NZ"/>
        </w:rPr>
        <w:t>s ‘from below’</w:t>
      </w:r>
      <w:r w:rsidR="00AD0F63">
        <w:rPr>
          <w:rFonts w:hAnsi="Times New Roman" w:cs="Times New Roman"/>
          <w:lang w:val="en-NZ"/>
        </w:rPr>
        <w:t xml:space="preserve"> (that is, from donations, tithes</w:t>
      </w:r>
      <w:r w:rsidR="00F922A5">
        <w:rPr>
          <w:rFonts w:hAnsi="Times New Roman" w:cs="Times New Roman"/>
          <w:lang w:val="en-NZ"/>
        </w:rPr>
        <w:t>,</w:t>
      </w:r>
      <w:r w:rsidR="00AD0F63">
        <w:rPr>
          <w:rFonts w:hAnsi="Times New Roman" w:cs="Times New Roman"/>
          <w:lang w:val="en-NZ"/>
        </w:rPr>
        <w:t xml:space="preserve"> or taxes on the population)</w:t>
      </w:r>
      <w:r w:rsidR="00154744">
        <w:rPr>
          <w:rFonts w:hAnsi="Times New Roman" w:cs="Times New Roman"/>
          <w:lang w:val="en-NZ"/>
        </w:rPr>
        <w:t>, o</w:t>
      </w:r>
      <w:r w:rsidRPr="002925AE">
        <w:rPr>
          <w:rFonts w:hAnsi="Times New Roman" w:cs="Times New Roman"/>
          <w:lang w:val="en-NZ"/>
        </w:rPr>
        <w:t>n the contrary, Rothstein and Broms (2013) suggest that, in the Arab-Muslim world, the financing for religious effort comes ‘from above’</w:t>
      </w:r>
      <w:r w:rsidR="00AD0F63">
        <w:rPr>
          <w:rFonts w:hAnsi="Times New Roman" w:cs="Times New Roman"/>
          <w:lang w:val="en-NZ"/>
        </w:rPr>
        <w:t xml:space="preserve"> (that is, funded by a non-taxing state, thus reducing accountability demands)</w:t>
      </w:r>
      <w:r w:rsidRPr="002925AE">
        <w:rPr>
          <w:rFonts w:hAnsi="Times New Roman" w:cs="Times New Roman"/>
          <w:lang w:val="en-NZ"/>
        </w:rPr>
        <w:t>.</w:t>
      </w:r>
      <w:r w:rsidR="00154744" w:rsidRPr="002925AE">
        <w:rPr>
          <w:rFonts w:hAnsi="Times New Roman" w:cs="Times New Roman"/>
          <w:vertAlign w:val="superscript"/>
          <w:lang w:val="en-NZ"/>
        </w:rPr>
        <w:endnoteReference w:id="11"/>
      </w:r>
      <w:r w:rsidRPr="002925AE">
        <w:rPr>
          <w:rFonts w:hAnsi="Times New Roman" w:cs="Times New Roman"/>
          <w:lang w:val="en-NZ"/>
        </w:rPr>
        <w:t xml:space="preserve"> </w:t>
      </w:r>
      <w:r w:rsidR="00AD0F63" w:rsidRPr="002925AE">
        <w:rPr>
          <w:rFonts w:hAnsi="Times New Roman" w:cs="Times New Roman"/>
          <w:lang w:val="en-NZ"/>
        </w:rPr>
        <w:t xml:space="preserve">Rothstein and Broms (2013) </w:t>
      </w:r>
      <w:r w:rsidRPr="002925AE">
        <w:rPr>
          <w:rFonts w:hAnsi="Times New Roman" w:cs="Times New Roman"/>
          <w:lang w:val="en-NZ"/>
        </w:rPr>
        <w:t xml:space="preserve">describe the </w:t>
      </w:r>
      <w:r w:rsidRPr="002925AE">
        <w:rPr>
          <w:rFonts w:hAnsi="Times New Roman" w:cs="Times New Roman"/>
          <w:i/>
          <w:iCs/>
          <w:lang w:val="en-NZ"/>
        </w:rPr>
        <w:t>waqf,</w:t>
      </w:r>
      <w:r w:rsidRPr="002925AE">
        <w:rPr>
          <w:rFonts w:hAnsi="Times New Roman" w:cs="Times New Roman"/>
          <w:lang w:val="en-NZ"/>
        </w:rPr>
        <w:t xml:space="preserve"> an endowed charitable institution responsible for funding the religious infrastructure and social welfare within Islam. </w:t>
      </w:r>
      <w:r w:rsidR="00AD0F63">
        <w:rPr>
          <w:rFonts w:hAnsi="Times New Roman" w:cs="Times New Roman"/>
          <w:lang w:val="en-NZ"/>
        </w:rPr>
        <w:t>Although</w:t>
      </w:r>
      <w:r w:rsidRPr="002925AE">
        <w:rPr>
          <w:rFonts w:hAnsi="Times New Roman" w:cs="Times New Roman"/>
          <w:lang w:val="en-NZ"/>
        </w:rPr>
        <w:t xml:space="preserve"> they argue that such patriarchal funding has been responsible for the lack of democracy historically in the Middle East and North Africa, </w:t>
      </w:r>
      <w:r w:rsidR="00AD0F63" w:rsidRPr="002925AE">
        <w:rPr>
          <w:rFonts w:hAnsi="Times New Roman" w:cs="Times New Roman"/>
          <w:lang w:val="en-NZ"/>
        </w:rPr>
        <w:t xml:space="preserve">Rothstein and Broms (2013) </w:t>
      </w:r>
      <w:r w:rsidRPr="002925AE">
        <w:rPr>
          <w:rFonts w:hAnsi="Times New Roman" w:cs="Times New Roman"/>
          <w:lang w:val="en-NZ"/>
        </w:rPr>
        <w:t xml:space="preserve">do not appear to distinguish amongst the different types of </w:t>
      </w:r>
      <w:r w:rsidRPr="002925AE">
        <w:rPr>
          <w:rFonts w:hAnsi="Times New Roman" w:cs="Times New Roman"/>
          <w:i/>
          <w:iCs/>
          <w:lang w:val="en-NZ"/>
        </w:rPr>
        <w:t>waqfs</w:t>
      </w:r>
      <w:r w:rsidRPr="002925AE">
        <w:rPr>
          <w:rFonts w:hAnsi="Times New Roman" w:cs="Times New Roman"/>
          <w:lang w:val="en-NZ"/>
        </w:rPr>
        <w:t xml:space="preserve"> – which Orbay (2013) details. These institutions are not always strictly religious, and include personal charities, as well as state organisations (although in a theocracy it may be difficult to distinguish religious institutions from the state).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This section therefore considers three aspects of institutional scenarios of religious enterprise: i) the rise of Islamic banking; ii) the use of taxes and social enterprises to finance religious effort; and iii) enterprises’ (commercial) attempts to attract adherents to the religious cause.</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Finance and religious values: Islamic accounting and banking</w:t>
      </w:r>
    </w:p>
    <w:p w:rsidR="00606689"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An area that has sustained interest in the modern day, is Islamic banking – that is, banking undertaken in compliance with </w:t>
      </w:r>
      <w:r w:rsidRPr="002925AE">
        <w:rPr>
          <w:rFonts w:hAnsi="Times New Roman" w:cs="Times New Roman"/>
          <w:i/>
          <w:iCs/>
          <w:lang w:val="en-NZ"/>
        </w:rPr>
        <w:t>Shari’a</w:t>
      </w:r>
      <w:r w:rsidRPr="002925AE">
        <w:rPr>
          <w:rFonts w:hAnsi="Times New Roman" w:cs="Times New Roman"/>
          <w:lang w:val="en-NZ"/>
        </w:rPr>
        <w:t xml:space="preserve"> law. The main tenet is not to charge interest on a money loan. As Carruthers and Espeland (1991)</w:t>
      </w:r>
      <w:r w:rsidR="006861F3">
        <w:rPr>
          <w:rFonts w:hAnsi="Times New Roman" w:cs="Times New Roman"/>
          <w:lang w:val="en-NZ"/>
        </w:rPr>
        <w:t xml:space="preserve"> observe</w:t>
      </w:r>
      <w:r w:rsidRPr="002925AE">
        <w:rPr>
          <w:rFonts w:hAnsi="Times New Roman" w:cs="Times New Roman"/>
          <w:lang w:val="en-NZ"/>
        </w:rPr>
        <w:t xml:space="preserve">, there was also a papal prohibition on such usury in Christendom, which persisted well into the seventeenth century in England. </w:t>
      </w:r>
      <w:r w:rsidR="00A330AA">
        <w:rPr>
          <w:rFonts w:hAnsi="Times New Roman" w:cs="Times New Roman"/>
          <w:lang w:val="en-NZ"/>
        </w:rPr>
        <w:t>Indeed</w:t>
      </w:r>
      <w:r w:rsidR="006861F3">
        <w:rPr>
          <w:rFonts w:hAnsi="Times New Roman" w:cs="Times New Roman"/>
          <w:lang w:val="en-NZ"/>
        </w:rPr>
        <w:t xml:space="preserve">, </w:t>
      </w:r>
      <w:r w:rsidR="00606689">
        <w:rPr>
          <w:rFonts w:hAnsi="Times New Roman" w:cs="Times New Roman"/>
          <w:lang w:val="en-NZ"/>
        </w:rPr>
        <w:t xml:space="preserve">Visser and MacIntosh (1998) and </w:t>
      </w:r>
      <w:r w:rsidRPr="002925AE">
        <w:rPr>
          <w:rFonts w:hAnsi="Times New Roman" w:cs="Times New Roman"/>
          <w:lang w:val="en-NZ"/>
        </w:rPr>
        <w:t>Jafri and Margolis (1999) describe the differences between</w:t>
      </w:r>
      <w:r w:rsidR="00606689">
        <w:rPr>
          <w:rFonts w:hAnsi="Times New Roman" w:cs="Times New Roman"/>
          <w:lang w:val="en-NZ"/>
        </w:rPr>
        <w:t xml:space="preserve"> the understanding and acceptance of</w:t>
      </w:r>
      <w:r w:rsidRPr="002925AE">
        <w:rPr>
          <w:rFonts w:hAnsi="Times New Roman" w:cs="Times New Roman"/>
          <w:lang w:val="en-NZ"/>
        </w:rPr>
        <w:t xml:space="preserve"> </w:t>
      </w:r>
      <w:r w:rsidR="00606689">
        <w:rPr>
          <w:rFonts w:hAnsi="Times New Roman" w:cs="Times New Roman"/>
          <w:lang w:val="en-NZ"/>
        </w:rPr>
        <w:t>usury</w:t>
      </w:r>
      <w:r w:rsidRPr="002925AE">
        <w:rPr>
          <w:rFonts w:hAnsi="Times New Roman" w:cs="Times New Roman"/>
          <w:lang w:val="en-NZ"/>
        </w:rPr>
        <w:t xml:space="preserve"> in Judaism, Christianity and Islam, </w:t>
      </w:r>
      <w:r w:rsidR="00606689">
        <w:rPr>
          <w:rFonts w:hAnsi="Times New Roman" w:cs="Times New Roman"/>
          <w:lang w:val="en-NZ"/>
        </w:rPr>
        <w:t>with Visser and MacIntosh (1998) also highlighting issues of exploitation, inequitable redistribution of wealth</w:t>
      </w:r>
      <w:r w:rsidR="00211CA1">
        <w:rPr>
          <w:rFonts w:hAnsi="Times New Roman" w:cs="Times New Roman"/>
          <w:lang w:val="en-NZ"/>
        </w:rPr>
        <w:t>,</w:t>
      </w:r>
      <w:r w:rsidR="00606689">
        <w:rPr>
          <w:rFonts w:hAnsi="Times New Roman" w:cs="Times New Roman"/>
          <w:lang w:val="en-NZ"/>
        </w:rPr>
        <w:t xml:space="preserve"> and economic instability. </w:t>
      </w:r>
      <w:r w:rsidR="006F3820">
        <w:rPr>
          <w:rFonts w:hAnsi="Times New Roman" w:cs="Times New Roman"/>
          <w:lang w:val="en-NZ"/>
        </w:rPr>
        <w:t xml:space="preserve">Lister (2006) analyses specific aspects of prohibition on the charging of interest in Judaism, noting that it was forbidden to take a reward for waiting (interest), but not for risk. </w:t>
      </w:r>
      <w:r w:rsidR="00606689">
        <w:rPr>
          <w:rFonts w:hAnsi="Times New Roman" w:cs="Times New Roman"/>
          <w:lang w:val="en-NZ"/>
        </w:rPr>
        <w:t xml:space="preserve">While </w:t>
      </w:r>
      <w:r w:rsidR="006F3820" w:rsidRPr="002925AE">
        <w:rPr>
          <w:rFonts w:hAnsi="Times New Roman" w:cs="Times New Roman"/>
          <w:lang w:val="en-NZ"/>
        </w:rPr>
        <w:t>Judaism</w:t>
      </w:r>
      <w:r w:rsidR="006F3820">
        <w:rPr>
          <w:rFonts w:hAnsi="Times New Roman" w:cs="Times New Roman"/>
          <w:lang w:val="en-NZ"/>
        </w:rPr>
        <w:t xml:space="preserve"> and</w:t>
      </w:r>
      <w:r w:rsidR="006F3820" w:rsidRPr="002925AE">
        <w:rPr>
          <w:rFonts w:hAnsi="Times New Roman" w:cs="Times New Roman"/>
          <w:lang w:val="en-NZ"/>
        </w:rPr>
        <w:t xml:space="preserve"> Christianity </w:t>
      </w:r>
      <w:r w:rsidR="00606689">
        <w:rPr>
          <w:rFonts w:hAnsi="Times New Roman" w:cs="Times New Roman"/>
          <w:lang w:val="en-NZ"/>
        </w:rPr>
        <w:t xml:space="preserve">appear to have </w:t>
      </w:r>
      <w:r w:rsidRPr="002925AE">
        <w:rPr>
          <w:rFonts w:hAnsi="Times New Roman" w:cs="Times New Roman"/>
          <w:lang w:val="en-NZ"/>
        </w:rPr>
        <w:t xml:space="preserve">rationalized </w:t>
      </w:r>
      <w:r w:rsidR="00606689">
        <w:rPr>
          <w:rFonts w:hAnsi="Times New Roman" w:cs="Times New Roman"/>
          <w:lang w:val="en-NZ"/>
        </w:rPr>
        <w:t xml:space="preserve">charging </w:t>
      </w:r>
      <w:r w:rsidRPr="002925AE">
        <w:rPr>
          <w:rFonts w:hAnsi="Times New Roman" w:cs="Times New Roman"/>
          <w:lang w:val="en-NZ"/>
        </w:rPr>
        <w:t>of interest, Islam has not, with Napier (2009</w:t>
      </w:r>
      <w:r w:rsidR="00E15EC3">
        <w:rPr>
          <w:rFonts w:hAnsi="Times New Roman" w:cs="Times New Roman"/>
          <w:lang w:val="en-NZ"/>
        </w:rPr>
        <w:t>b</w:t>
      </w:r>
      <w:r w:rsidRPr="002925AE">
        <w:rPr>
          <w:rFonts w:hAnsi="Times New Roman" w:cs="Times New Roman"/>
          <w:lang w:val="en-NZ"/>
        </w:rPr>
        <w:t xml:space="preserve">) </w:t>
      </w:r>
      <w:r w:rsidR="006861F3">
        <w:rPr>
          <w:rFonts w:hAnsi="Times New Roman" w:cs="Times New Roman"/>
          <w:lang w:val="en-NZ"/>
        </w:rPr>
        <w:t>stating</w:t>
      </w:r>
      <w:r w:rsidRPr="002925AE">
        <w:rPr>
          <w:rFonts w:hAnsi="Times New Roman" w:cs="Times New Roman"/>
          <w:lang w:val="en-NZ"/>
        </w:rPr>
        <w:t xml:space="preserve"> that Islam’s adherents are required to submit to religious requirements across all life’s aspects.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The rise of Islamic banking from 1975 has been rapid.</w:t>
      </w:r>
      <w:r w:rsidRPr="002925AE">
        <w:rPr>
          <w:rFonts w:hAnsi="Times New Roman" w:cs="Times New Roman"/>
          <w:vertAlign w:val="superscript"/>
          <w:lang w:val="en-NZ"/>
        </w:rPr>
        <w:endnoteReference w:id="12"/>
      </w:r>
      <w:r w:rsidRPr="002925AE">
        <w:rPr>
          <w:rFonts w:hAnsi="Times New Roman" w:cs="Times New Roman"/>
          <w:lang w:val="en-NZ"/>
        </w:rPr>
        <w:t xml:space="preserve"> Therefore, Maali and Napier’s (2010) analysis of the struggle during the late 1970s to establish the (now successful) Jordan Islamic Bank, raises interesting issues as to the manner in which accounting, religious ideals and organisational culture must be negotiated in order to engender useful legislation and a profitable/sustainable business. Rammal and Parker (2012) also recount challenges faced in this area in their review of Pakistan’s Islamic banking and regulations from 1947-2010. The development of a State-run bank, which aimed to comply with </w:t>
      </w:r>
      <w:r w:rsidRPr="002925AE">
        <w:rPr>
          <w:rFonts w:hAnsi="Times New Roman" w:cs="Times New Roman"/>
          <w:i/>
          <w:iCs/>
          <w:lang w:val="en-NZ"/>
        </w:rPr>
        <w:t>Shari’a</w:t>
      </w:r>
      <w:r w:rsidRPr="002925AE">
        <w:rPr>
          <w:rFonts w:hAnsi="Times New Roman" w:cs="Times New Roman"/>
          <w:lang w:val="en-NZ"/>
        </w:rPr>
        <w:t xml:space="preserve"> laws, was deemed to be a failure when the Pakistani banking sector was privatised in 1991. However, a dual banking system now operates, due to the regulatory structure which approves Islamic products (Rammal &amp; Parker, 2012). </w:t>
      </w:r>
    </w:p>
    <w:p w:rsidR="00366B6D"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Gambling and Karim (1986) </w:t>
      </w:r>
      <w:r w:rsidR="006861F3">
        <w:rPr>
          <w:rFonts w:hAnsi="Times New Roman" w:cs="Times New Roman"/>
          <w:lang w:val="en-NZ"/>
        </w:rPr>
        <w:t>contend</w:t>
      </w:r>
      <w:r w:rsidRPr="002925AE">
        <w:rPr>
          <w:rFonts w:hAnsi="Times New Roman" w:cs="Times New Roman"/>
          <w:lang w:val="en-NZ"/>
        </w:rPr>
        <w:t xml:space="preserve"> that the development of the concept of </w:t>
      </w:r>
      <w:r w:rsidRPr="002925AE">
        <w:rPr>
          <w:rFonts w:hAnsi="Times New Roman" w:cs="Times New Roman"/>
          <w:i/>
          <w:iCs/>
          <w:lang w:val="en-NZ"/>
        </w:rPr>
        <w:t>Zakah/zakat</w:t>
      </w:r>
      <w:r w:rsidRPr="002925AE">
        <w:rPr>
          <w:rFonts w:hAnsi="Times New Roman" w:cs="Times New Roman"/>
          <w:lang w:val="en-NZ"/>
        </w:rPr>
        <w:t xml:space="preserve"> into a social fund would be one way for banks to specifically utilize these taxes for social good. They </w:t>
      </w:r>
      <w:r w:rsidR="000F4F61">
        <w:rPr>
          <w:rFonts w:hAnsi="Times New Roman" w:cs="Times New Roman"/>
          <w:lang w:val="en-NZ"/>
        </w:rPr>
        <w:t>call</w:t>
      </w:r>
      <w:r w:rsidRPr="002925AE">
        <w:rPr>
          <w:rFonts w:hAnsi="Times New Roman" w:cs="Times New Roman"/>
          <w:lang w:val="en-NZ"/>
        </w:rPr>
        <w:t xml:space="preserve"> for </w:t>
      </w:r>
      <w:r w:rsidR="000F4F61">
        <w:rPr>
          <w:rFonts w:hAnsi="Times New Roman" w:cs="Times New Roman"/>
          <w:lang w:val="en-NZ"/>
        </w:rPr>
        <w:t xml:space="preserve">a </w:t>
      </w:r>
      <w:r w:rsidRPr="002925AE">
        <w:rPr>
          <w:rFonts w:hAnsi="Times New Roman" w:cs="Times New Roman"/>
          <w:lang w:val="en-NZ"/>
        </w:rPr>
        <w:t>new accounting theory for social</w:t>
      </w:r>
      <w:r w:rsidR="00211CA1">
        <w:rPr>
          <w:rFonts w:hAnsi="Times New Roman" w:cs="Times New Roman"/>
          <w:lang w:val="en-NZ"/>
        </w:rPr>
        <w:t xml:space="preserve"> and Islamic</w:t>
      </w:r>
      <w:r w:rsidRPr="002925AE">
        <w:rPr>
          <w:rFonts w:hAnsi="Times New Roman" w:cs="Times New Roman"/>
          <w:lang w:val="en-NZ"/>
        </w:rPr>
        <w:t xml:space="preserve"> accounting (see also Triyuwono, 1996, bel</w:t>
      </w:r>
      <w:r w:rsidR="000F4F61">
        <w:rPr>
          <w:rFonts w:hAnsi="Times New Roman" w:cs="Times New Roman"/>
          <w:lang w:val="en-NZ"/>
        </w:rPr>
        <w:t>ow). Further, Rammal and Parker</w:t>
      </w:r>
      <w:r w:rsidRPr="002925AE">
        <w:rPr>
          <w:rFonts w:hAnsi="Times New Roman" w:cs="Times New Roman"/>
          <w:lang w:val="en-NZ"/>
        </w:rPr>
        <w:t xml:space="preserve"> (2012) use the Economic Theory of the State, along with analysis of </w:t>
      </w:r>
      <w:r w:rsidR="000F4F61" w:rsidRPr="002925AE">
        <w:rPr>
          <w:rFonts w:hAnsi="Times New Roman" w:cs="Times New Roman"/>
          <w:lang w:val="en-NZ"/>
        </w:rPr>
        <w:t>Pakistan</w:t>
      </w:r>
      <w:r w:rsidR="000F4F61">
        <w:rPr>
          <w:rFonts w:hAnsi="Times New Roman" w:cs="Times New Roman"/>
          <w:lang w:val="en-NZ"/>
        </w:rPr>
        <w:t>’s</w:t>
      </w:r>
      <w:r w:rsidR="000F4F61" w:rsidRPr="002925AE">
        <w:rPr>
          <w:rFonts w:hAnsi="Times New Roman" w:cs="Times New Roman"/>
          <w:lang w:val="en-NZ"/>
        </w:rPr>
        <w:t xml:space="preserve"> </w:t>
      </w:r>
      <w:r w:rsidRPr="002925AE">
        <w:rPr>
          <w:rFonts w:hAnsi="Times New Roman" w:cs="Times New Roman"/>
          <w:lang w:val="en-NZ"/>
        </w:rPr>
        <w:t>theocracy, highlight</w:t>
      </w:r>
      <w:r w:rsidR="000F4F61">
        <w:rPr>
          <w:rFonts w:hAnsi="Times New Roman" w:cs="Times New Roman"/>
          <w:lang w:val="en-NZ"/>
        </w:rPr>
        <w:t>ing</w:t>
      </w:r>
      <w:r w:rsidRPr="002925AE">
        <w:rPr>
          <w:rFonts w:hAnsi="Times New Roman" w:cs="Times New Roman"/>
          <w:lang w:val="en-NZ"/>
        </w:rPr>
        <w:t xml:space="preserve"> this </w:t>
      </w:r>
      <w:r w:rsidR="006861F3">
        <w:rPr>
          <w:rFonts w:hAnsi="Times New Roman" w:cs="Times New Roman"/>
          <w:lang w:val="en-NZ"/>
        </w:rPr>
        <w:t>topic</w:t>
      </w:r>
      <w:r w:rsidRPr="002925AE">
        <w:rPr>
          <w:rFonts w:hAnsi="Times New Roman" w:cs="Times New Roman"/>
          <w:lang w:val="en-NZ"/>
        </w:rPr>
        <w:t xml:space="preserve"> as one that needs more research</w:t>
      </w:r>
      <w:r w:rsidR="00AD0F63">
        <w:rPr>
          <w:rFonts w:hAnsi="Times New Roman" w:cs="Times New Roman"/>
          <w:lang w:val="en-NZ"/>
        </w:rPr>
        <w:t xml:space="preserve"> and in particular, cross-country research to understand how (and why) Islamic accounting and banking differs according to context</w:t>
      </w:r>
      <w:r w:rsidRPr="002925AE">
        <w:rPr>
          <w:rFonts w:hAnsi="Times New Roman" w:cs="Times New Roman"/>
          <w:lang w:val="en-NZ"/>
        </w:rPr>
        <w:t>.</w:t>
      </w:r>
      <w:r w:rsidRPr="002925AE">
        <w:rPr>
          <w:rFonts w:hAnsi="Times New Roman" w:cs="Times New Roman"/>
          <w:vertAlign w:val="superscript"/>
          <w:lang w:val="en-NZ"/>
        </w:rPr>
        <w:endnoteReference w:id="13"/>
      </w:r>
      <w:r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The financing effort: taxes, investing and social enterprise</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While a number of contributions </w:t>
      </w:r>
      <w:r w:rsidR="006861F3">
        <w:rPr>
          <w:rFonts w:hAnsi="Times New Roman" w:cs="Times New Roman"/>
          <w:lang w:val="en-NZ"/>
        </w:rPr>
        <w:t>investigate</w:t>
      </w:r>
      <w:r w:rsidRPr="002925AE">
        <w:rPr>
          <w:rFonts w:hAnsi="Times New Roman" w:cs="Times New Roman"/>
          <w:lang w:val="en-NZ"/>
        </w:rPr>
        <w:t xml:space="preserve"> accounting within specific religious institutions, </w:t>
      </w:r>
      <w:r w:rsidR="00351FC1">
        <w:rPr>
          <w:rFonts w:hAnsi="Times New Roman" w:cs="Times New Roman"/>
          <w:lang w:val="en-NZ"/>
        </w:rPr>
        <w:t>other</w:t>
      </w:r>
      <w:r w:rsidRPr="002925AE">
        <w:rPr>
          <w:rFonts w:hAnsi="Times New Roman" w:cs="Times New Roman"/>
          <w:lang w:val="en-NZ"/>
        </w:rPr>
        <w:t xml:space="preserve"> research </w:t>
      </w:r>
      <w:r w:rsidR="006861F3">
        <w:rPr>
          <w:rFonts w:hAnsi="Times New Roman" w:cs="Times New Roman"/>
          <w:lang w:val="en-NZ"/>
        </w:rPr>
        <w:t>considers</w:t>
      </w:r>
      <w:r w:rsidRPr="002925AE">
        <w:rPr>
          <w:rFonts w:hAnsi="Times New Roman" w:cs="Times New Roman"/>
          <w:lang w:val="en-NZ"/>
        </w:rPr>
        <w:t xml:space="preserve"> entities that support these institutions either financially or by extending their mission. Notwithstanding Laughlin’s (1988) assertion that much religious financing comes ‘from below’, government funding (‘from above’) was a major source of revenue for the Roman Catholic Church. For example, </w:t>
      </w:r>
      <w:r w:rsidR="000A15E4" w:rsidRPr="002925AE">
        <w:rPr>
          <w:rFonts w:hAnsi="Times New Roman" w:cs="Times New Roman"/>
        </w:rPr>
        <w:t xml:space="preserve">Riccaboni </w:t>
      </w:r>
      <w:r w:rsidR="00A330AA">
        <w:rPr>
          <w:rFonts w:hAnsi="Times New Roman" w:cs="Times New Roman"/>
        </w:rPr>
        <w:t>et al.</w:t>
      </w:r>
      <w:r w:rsidRPr="002925AE">
        <w:rPr>
          <w:rFonts w:hAnsi="Times New Roman" w:cs="Times New Roman"/>
          <w:lang w:val="en-NZ"/>
        </w:rPr>
        <w:t xml:space="preserve"> (2006) describe the building and maintenance of the </w:t>
      </w:r>
      <w:r w:rsidRPr="002925AE">
        <w:rPr>
          <w:rFonts w:hAnsi="Times New Roman" w:cs="Times New Roman"/>
          <w:i/>
          <w:iCs/>
          <w:lang w:val="en-NZ"/>
        </w:rPr>
        <w:t>duomo</w:t>
      </w:r>
      <w:r w:rsidRPr="002925AE">
        <w:rPr>
          <w:rFonts w:hAnsi="Times New Roman" w:cs="Times New Roman"/>
          <w:lang w:val="en-NZ"/>
        </w:rPr>
        <w:t xml:space="preserve"> (cathedral) at Siena, which was undertaken by the </w:t>
      </w:r>
      <w:r w:rsidRPr="002925AE">
        <w:rPr>
          <w:rFonts w:hAnsi="Times New Roman" w:cs="Times New Roman"/>
          <w:i/>
          <w:iCs/>
          <w:lang w:val="en-NZ"/>
        </w:rPr>
        <w:t xml:space="preserve">Opera della Metropolitana di Siena </w:t>
      </w:r>
      <w:r w:rsidRPr="002925AE">
        <w:rPr>
          <w:rFonts w:hAnsi="Times New Roman" w:cs="Times New Roman"/>
          <w:lang w:val="en-NZ"/>
        </w:rPr>
        <w:t>between 1193 and 1367. This project was largely funded by government, and lay managers and governors predominated in the building period. Later, revenue from sales of wax which the cathedral received as taxes on citizens and nearby villages</w:t>
      </w:r>
      <w:r w:rsidR="00351FC1">
        <w:rPr>
          <w:rFonts w:hAnsi="Times New Roman" w:cs="Times New Roman"/>
          <w:lang w:val="en-NZ"/>
        </w:rPr>
        <w:t xml:space="preserve"> (“from </w:t>
      </w:r>
      <w:r w:rsidR="006861F3">
        <w:rPr>
          <w:rFonts w:hAnsi="Times New Roman" w:cs="Times New Roman"/>
          <w:lang w:val="en-NZ"/>
        </w:rPr>
        <w:t>below</w:t>
      </w:r>
      <w:r w:rsidR="00351FC1">
        <w:rPr>
          <w:rFonts w:hAnsi="Times New Roman" w:cs="Times New Roman"/>
          <w:lang w:val="en-NZ"/>
        </w:rPr>
        <w:t>”)</w:t>
      </w:r>
      <w:r w:rsidRPr="002925AE">
        <w:rPr>
          <w:rFonts w:hAnsi="Times New Roman" w:cs="Times New Roman"/>
          <w:lang w:val="en-NZ"/>
        </w:rPr>
        <w:t xml:space="preserve">, provided ongoing income. Further, </w:t>
      </w:r>
      <w:r w:rsidR="00A330AA" w:rsidRPr="002925AE">
        <w:rPr>
          <w:rFonts w:hAnsi="Times New Roman" w:cs="Times New Roman"/>
          <w:lang w:val="en-NZ"/>
        </w:rPr>
        <w:t>reflect</w:t>
      </w:r>
      <w:r w:rsidR="00A330AA">
        <w:rPr>
          <w:rFonts w:hAnsi="Times New Roman" w:cs="Times New Roman"/>
          <w:lang w:val="en-NZ"/>
        </w:rPr>
        <w:t>ing</w:t>
      </w:r>
      <w:r w:rsidR="00A330AA" w:rsidRPr="002925AE">
        <w:rPr>
          <w:rFonts w:hAnsi="Times New Roman" w:cs="Times New Roman"/>
          <w:lang w:val="en-NZ"/>
        </w:rPr>
        <w:t xml:space="preserve"> the sacred nature of the </w:t>
      </w:r>
      <w:r w:rsidR="00A330AA" w:rsidRPr="002925AE">
        <w:rPr>
          <w:rFonts w:hAnsi="Times New Roman" w:cs="Times New Roman"/>
          <w:i/>
          <w:iCs/>
          <w:lang w:val="en-NZ"/>
        </w:rPr>
        <w:t>duomo</w:t>
      </w:r>
      <w:r w:rsidR="00A330AA" w:rsidRPr="00A330AA">
        <w:rPr>
          <w:rFonts w:hAnsi="Times New Roman" w:cs="Times New Roman"/>
          <w:iCs/>
          <w:lang w:val="en-NZ"/>
        </w:rPr>
        <w:t>,</w:t>
      </w:r>
      <w:r w:rsidR="00A330AA" w:rsidRPr="002925AE">
        <w:rPr>
          <w:rFonts w:hAnsi="Times New Roman" w:cs="Times New Roman"/>
          <w:lang w:val="en-NZ"/>
        </w:rPr>
        <w:t xml:space="preserve"> </w:t>
      </w:r>
      <w:r w:rsidRPr="002925AE">
        <w:rPr>
          <w:rFonts w:hAnsi="Times New Roman" w:cs="Times New Roman"/>
          <w:lang w:val="en-NZ"/>
        </w:rPr>
        <w:t>alms, offerings and legacies became substantial. In 1364, a separate accounting system was developed for the sacristy and a (lay) sacristan was appointed. Riccaboni et al. (2006) interpret these changes as relating to resource providers’ need</w:t>
      </w:r>
      <w:r w:rsidR="00A330AA">
        <w:rPr>
          <w:rFonts w:hAnsi="Times New Roman" w:cs="Times New Roman"/>
          <w:lang w:val="en-NZ"/>
        </w:rPr>
        <w:t>s</w:t>
      </w:r>
      <w:r w:rsidRPr="002925AE">
        <w:rPr>
          <w:rFonts w:hAnsi="Times New Roman" w:cs="Times New Roman"/>
          <w:lang w:val="en-NZ"/>
        </w:rPr>
        <w:t xml:space="preserve"> for more information, to allow the governors to control at a distance, as well as discharging accountability and legitimacy.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Similar to the ‘wax tax’ in Riccaboni et al. (2006), from the late eighth century in England, priests collected tithes – formalised as taxes from the thirteenth century. Lee (2006) describes the changes in these tithes, </w:t>
      </w:r>
      <w:r w:rsidR="00A330AA">
        <w:rPr>
          <w:rFonts w:hAnsi="Times New Roman" w:cs="Times New Roman"/>
          <w:lang w:val="en-NZ"/>
        </w:rPr>
        <w:t>from</w:t>
      </w:r>
      <w:r w:rsidRPr="002925AE">
        <w:rPr>
          <w:rFonts w:hAnsi="Times New Roman" w:cs="Times New Roman"/>
          <w:lang w:val="en-NZ"/>
        </w:rPr>
        <w:t xml:space="preserve"> the dissolution of the monasteries and the rise of the Church of England, to their abolition in the Tithe Act 1936 and the Finance Act 1977. There are few discussions of taxes such as this in the accounting history literature.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Indeed, there are also very few studies of internal fundraising and accounting. Lennell’s (1994) PhD thesis is an exception. His Illinois-based study </w:t>
      </w:r>
      <w:r w:rsidR="006861F3">
        <w:rPr>
          <w:rFonts w:hAnsi="Times New Roman" w:cs="Times New Roman"/>
          <w:lang w:val="en-NZ"/>
        </w:rPr>
        <w:t>evaluates</w:t>
      </w:r>
      <w:r w:rsidRPr="002925AE">
        <w:rPr>
          <w:rFonts w:hAnsi="Times New Roman" w:cs="Times New Roman"/>
          <w:lang w:val="en-NZ"/>
        </w:rPr>
        <w:t xml:space="preserve"> the effect on giving of 106 Roman Catholic parishes’ accountability through publication of annual financial reports. Given this 1992/3 study focused on then contemporary data, comparative historical studies</w:t>
      </w:r>
      <w:r w:rsidR="00733F53">
        <w:rPr>
          <w:rFonts w:hAnsi="Times New Roman" w:cs="Times New Roman"/>
          <w:lang w:val="en-NZ"/>
        </w:rPr>
        <w:t>,</w:t>
      </w:r>
      <w:r w:rsidRPr="002925AE">
        <w:rPr>
          <w:rFonts w:hAnsi="Times New Roman" w:cs="Times New Roman"/>
          <w:lang w:val="en-NZ"/>
        </w:rPr>
        <w:t xml:space="preserve"> </w:t>
      </w:r>
      <w:r w:rsidR="00733F53">
        <w:rPr>
          <w:rFonts w:hAnsi="Times New Roman" w:cs="Times New Roman"/>
          <w:lang w:val="en-NZ"/>
        </w:rPr>
        <w:t xml:space="preserve">including cross-national studies, </w:t>
      </w:r>
      <w:r w:rsidRPr="002925AE">
        <w:rPr>
          <w:rFonts w:hAnsi="Times New Roman" w:cs="Times New Roman"/>
          <w:lang w:val="en-NZ"/>
        </w:rPr>
        <w:t xml:space="preserve">would be useful on </w:t>
      </w:r>
      <w:r w:rsidR="00A14659">
        <w:rPr>
          <w:rFonts w:hAnsi="Times New Roman" w:cs="Times New Roman"/>
          <w:lang w:val="en-NZ"/>
        </w:rPr>
        <w:t xml:space="preserve">the topic of </w:t>
      </w:r>
      <w:r w:rsidR="00A14659" w:rsidRPr="002925AE">
        <w:rPr>
          <w:rFonts w:hAnsi="Times New Roman" w:cs="Times New Roman"/>
          <w:lang w:val="en-NZ"/>
        </w:rPr>
        <w:t>motivations to give and accountability</w:t>
      </w:r>
      <w:r w:rsidR="00A330AA">
        <w:rPr>
          <w:rFonts w:hAnsi="Times New Roman" w:cs="Times New Roman"/>
          <w:lang w:val="en-NZ"/>
        </w:rPr>
        <w:t xml:space="preserve"> demands</w:t>
      </w:r>
      <w:r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Many religious organisations depend on investments to fund their programmes and staff. Kreander, et al.</w:t>
      </w:r>
      <w:r w:rsidR="00250E50">
        <w:rPr>
          <w:rFonts w:hAnsi="Times New Roman" w:cs="Times New Roman"/>
          <w:lang w:val="en-NZ"/>
        </w:rPr>
        <w:t>’s</w:t>
      </w:r>
      <w:r w:rsidRPr="002925AE">
        <w:rPr>
          <w:rFonts w:hAnsi="Times New Roman" w:cs="Times New Roman"/>
          <w:lang w:val="en-NZ"/>
        </w:rPr>
        <w:t xml:space="preserve"> (2004) </w:t>
      </w:r>
      <w:r w:rsidR="00250E50">
        <w:rPr>
          <w:rFonts w:hAnsi="Times New Roman" w:cs="Times New Roman"/>
          <w:lang w:val="en-NZ"/>
        </w:rPr>
        <w:t>o</w:t>
      </w:r>
      <w:r w:rsidRPr="002925AE">
        <w:rPr>
          <w:rFonts w:hAnsi="Times New Roman" w:cs="Times New Roman"/>
          <w:lang w:val="en-NZ"/>
        </w:rPr>
        <w:t>ral history project with investment managers in the UK’s Methodist and Angli</w:t>
      </w:r>
      <w:r w:rsidR="00A14659">
        <w:rPr>
          <w:rFonts w:hAnsi="Times New Roman" w:cs="Times New Roman"/>
          <w:lang w:val="en-NZ"/>
        </w:rPr>
        <w:t>can churches</w:t>
      </w:r>
      <w:r w:rsidR="00250E50">
        <w:rPr>
          <w:rFonts w:hAnsi="Times New Roman" w:cs="Times New Roman"/>
          <w:lang w:val="en-NZ"/>
        </w:rPr>
        <w:t xml:space="preserve"> finds that</w:t>
      </w:r>
      <w:r w:rsidRPr="002925AE">
        <w:rPr>
          <w:rFonts w:hAnsi="Times New Roman" w:cs="Times New Roman"/>
          <w:lang w:val="en-NZ"/>
        </w:rPr>
        <w:t xml:space="preserve"> the Methodist fund managers (who managed their fund internally) sought to practise their religious beliefs through harmonising their investments with their theological values. This showed a lack of the sacred-secular divide (Kreander et al., 2004). Nevertheless, they </w:t>
      </w:r>
      <w:r w:rsidR="00250E50">
        <w:rPr>
          <w:rFonts w:hAnsi="Times New Roman" w:cs="Times New Roman"/>
          <w:lang w:val="en-NZ"/>
        </w:rPr>
        <w:t>consider</w:t>
      </w:r>
      <w:r w:rsidRPr="002925AE">
        <w:rPr>
          <w:rFonts w:hAnsi="Times New Roman" w:cs="Times New Roman"/>
          <w:lang w:val="en-NZ"/>
        </w:rPr>
        <w:t xml:space="preserve"> that the “church ethical investment movement … has yet to fully address the challenge that the values at the core of a truly Christian ethic are ultimately incompatible with the values of capitalism” (Kreander et al., 2004: 433).</w:t>
      </w:r>
      <w:r w:rsidRPr="002925AE">
        <w:rPr>
          <w:rFonts w:hAnsi="Times New Roman" w:cs="Times New Roman"/>
          <w:vertAlign w:val="superscript"/>
          <w:lang w:val="en-NZ"/>
        </w:rPr>
        <w:endnoteReference w:id="14"/>
      </w:r>
    </w:p>
    <w:p w:rsidR="00366B6D" w:rsidRDefault="00351FC1" w:rsidP="007D3040">
      <w:pPr>
        <w:spacing w:after="120" w:line="360" w:lineRule="auto"/>
        <w:ind w:firstLine="720"/>
        <w:rPr>
          <w:rFonts w:hAnsi="Times New Roman" w:cs="Times New Roman"/>
          <w:lang w:val="en-NZ"/>
        </w:rPr>
      </w:pPr>
      <w:r>
        <w:rPr>
          <w:rFonts w:hAnsi="Times New Roman" w:cs="Times New Roman"/>
          <w:lang w:val="en-NZ"/>
        </w:rPr>
        <w:t>S</w:t>
      </w:r>
      <w:r w:rsidR="000D1A57" w:rsidRPr="002925AE">
        <w:rPr>
          <w:rFonts w:hAnsi="Times New Roman" w:cs="Times New Roman"/>
          <w:lang w:val="en-NZ"/>
        </w:rPr>
        <w:t xml:space="preserve">ocial enterprises </w:t>
      </w:r>
      <w:r w:rsidR="00250E50">
        <w:rPr>
          <w:rFonts w:hAnsi="Times New Roman" w:cs="Times New Roman"/>
          <w:lang w:val="en-NZ"/>
        </w:rPr>
        <w:t>are a prevalent</w:t>
      </w:r>
      <w:r w:rsidR="000D1A57" w:rsidRPr="002925AE">
        <w:rPr>
          <w:rFonts w:hAnsi="Times New Roman" w:cs="Times New Roman"/>
          <w:lang w:val="en-NZ"/>
        </w:rPr>
        <w:t xml:space="preserve"> avenue for fun</w:t>
      </w:r>
      <w:r w:rsidR="00250E50">
        <w:rPr>
          <w:rFonts w:hAnsi="Times New Roman" w:cs="Times New Roman"/>
          <w:lang w:val="en-NZ"/>
        </w:rPr>
        <w:t>draising for religious purposes</w:t>
      </w:r>
      <w:r w:rsidR="000D1A57" w:rsidRPr="002925AE">
        <w:rPr>
          <w:rFonts w:hAnsi="Times New Roman" w:cs="Times New Roman"/>
          <w:lang w:val="en-NZ"/>
        </w:rPr>
        <w:t>, as can be seen in the accounts of the priories in England analysed by Dobie (2011)</w:t>
      </w:r>
      <w:r w:rsidR="00A14659">
        <w:rPr>
          <w:rFonts w:hAnsi="Times New Roman" w:cs="Times New Roman"/>
          <w:lang w:val="en-NZ"/>
        </w:rPr>
        <w:t xml:space="preserve"> and</w:t>
      </w:r>
      <w:r w:rsidR="006F3820">
        <w:rPr>
          <w:rFonts w:hAnsi="Times New Roman" w:cs="Times New Roman"/>
          <w:lang w:val="en-NZ"/>
        </w:rPr>
        <w:t xml:space="preserve"> Slavin (2012)</w:t>
      </w:r>
      <w:r w:rsidR="00A14659">
        <w:rPr>
          <w:rFonts w:hAnsi="Times New Roman" w:cs="Times New Roman"/>
          <w:lang w:val="en-NZ"/>
        </w:rPr>
        <w:t>,</w:t>
      </w:r>
      <w:r w:rsidR="000D1A57" w:rsidRPr="002925AE">
        <w:rPr>
          <w:rFonts w:hAnsi="Times New Roman" w:cs="Times New Roman"/>
          <w:lang w:val="en-NZ"/>
        </w:rPr>
        <w:t xml:space="preserve"> and in Benedictine abbeys (Hiebl &amp; Feldbauer-Durstmüller, 2014). Dobie (2011) </w:t>
      </w:r>
      <w:r w:rsidR="00250E50">
        <w:rPr>
          <w:rFonts w:hAnsi="Times New Roman" w:cs="Times New Roman"/>
          <w:lang w:val="en-NZ"/>
        </w:rPr>
        <w:t>exposes</w:t>
      </w:r>
      <w:r w:rsidR="000D1A57" w:rsidRPr="002925AE">
        <w:rPr>
          <w:rFonts w:hAnsi="Times New Roman" w:cs="Times New Roman"/>
          <w:lang w:val="en-NZ"/>
        </w:rPr>
        <w:t xml:space="preserve"> detailed process accounting around the granary, and the conversion of the raw materials into bread and </w:t>
      </w:r>
      <w:r>
        <w:rPr>
          <w:rFonts w:hAnsi="Times New Roman" w:cs="Times New Roman"/>
          <w:lang w:val="en-NZ"/>
        </w:rPr>
        <w:t xml:space="preserve">ale. These staples absorbed “a significant share of the house’s resources … necessitating elaborate accounting processes and records for their control” (Dobie, 2011: 8). Nevertheless, finances were volatile and sometimes short-term loans were needed to fund necessary expenditure </w:t>
      </w:r>
      <w:r w:rsidR="000D1A57" w:rsidRPr="002925AE">
        <w:rPr>
          <w:rFonts w:hAnsi="Times New Roman" w:cs="Times New Roman"/>
          <w:lang w:val="en-NZ"/>
        </w:rPr>
        <w:t>(Dobie, 2008a). Th</w:t>
      </w:r>
      <w:r w:rsidR="00250E50">
        <w:rPr>
          <w:rFonts w:hAnsi="Times New Roman" w:cs="Times New Roman"/>
          <w:lang w:val="en-NZ"/>
        </w:rPr>
        <w:t>erefore, th</w:t>
      </w:r>
      <w:r w:rsidR="000D1A57" w:rsidRPr="002925AE">
        <w:rPr>
          <w:rFonts w:hAnsi="Times New Roman" w:cs="Times New Roman"/>
          <w:lang w:val="en-NZ"/>
        </w:rPr>
        <w:t xml:space="preserve">is social enterprise not only provided employment, it also stocked the abbey’s larder. </w:t>
      </w:r>
      <w:r w:rsidR="00566B50">
        <w:rPr>
          <w:rFonts w:hAnsi="Times New Roman" w:cs="Times New Roman"/>
          <w:lang w:val="en-NZ"/>
        </w:rPr>
        <w:t>Slavin</w:t>
      </w:r>
      <w:r w:rsidR="004B5E75">
        <w:rPr>
          <w:rFonts w:hAnsi="Times New Roman" w:cs="Times New Roman"/>
          <w:lang w:val="en-NZ"/>
        </w:rPr>
        <w:t xml:space="preserve"> (2012) also </w:t>
      </w:r>
      <w:r w:rsidR="00250E50">
        <w:rPr>
          <w:rFonts w:hAnsi="Times New Roman" w:cs="Times New Roman"/>
          <w:lang w:val="en-NZ"/>
        </w:rPr>
        <w:t>scrutinises</w:t>
      </w:r>
      <w:r w:rsidR="004B5E75">
        <w:rPr>
          <w:rFonts w:hAnsi="Times New Roman" w:cs="Times New Roman"/>
          <w:lang w:val="en-NZ"/>
        </w:rPr>
        <w:t xml:space="preserve"> grain production, this time in Norwich Cathedral Priory from 1260-1536, providing detail on production costs, productivity, profitability and consumption. The production also enabled poor relief (a type of </w:t>
      </w:r>
      <w:r w:rsidR="00566B50">
        <w:rPr>
          <w:rFonts w:hAnsi="Times New Roman" w:cs="Times New Roman"/>
          <w:lang w:val="en-NZ"/>
        </w:rPr>
        <w:t>soup kitchen and alms-giving).</w:t>
      </w:r>
      <w:r w:rsidR="00566B50">
        <w:rPr>
          <w:rStyle w:val="EndnoteReference"/>
          <w:rFonts w:hAnsi="Times New Roman" w:cs="Times New Roman"/>
          <w:lang w:val="en-NZ"/>
        </w:rPr>
        <w:endnoteReference w:id="15"/>
      </w:r>
      <w:r w:rsidR="00566B50">
        <w:rPr>
          <w:rFonts w:hAnsi="Times New Roman" w:cs="Times New Roman"/>
          <w:lang w:val="en-NZ"/>
        </w:rPr>
        <w:t xml:space="preserve"> </w:t>
      </w:r>
      <w:r w:rsidR="004B5E75">
        <w:rPr>
          <w:rFonts w:hAnsi="Times New Roman" w:cs="Times New Roman"/>
          <w:lang w:val="en-NZ"/>
        </w:rPr>
        <w:t>S</w:t>
      </w:r>
      <w:r w:rsidR="000D1A57" w:rsidRPr="002925AE">
        <w:rPr>
          <w:rFonts w:hAnsi="Times New Roman" w:cs="Times New Roman"/>
          <w:lang w:val="en-NZ"/>
        </w:rPr>
        <w:t>tudies into the sustainable operation of social enterprises are of interest to the not-for-profit sector generally.</w:t>
      </w:r>
    </w:p>
    <w:p w:rsidR="00470C06" w:rsidRDefault="00D80954" w:rsidP="007D3040">
      <w:pPr>
        <w:spacing w:after="120" w:line="360" w:lineRule="auto"/>
        <w:ind w:firstLine="720"/>
        <w:rPr>
          <w:rFonts w:hAnsi="Times New Roman" w:cs="Times New Roman"/>
          <w:lang w:val="en-NZ"/>
        </w:rPr>
      </w:pPr>
      <w:r>
        <w:rPr>
          <w:rFonts w:hAnsi="Times New Roman" w:cs="Times New Roman"/>
          <w:lang w:val="en-NZ"/>
        </w:rPr>
        <w:t>An interesting study into</w:t>
      </w:r>
      <w:r w:rsidR="00470C06">
        <w:rPr>
          <w:rFonts w:hAnsi="Times New Roman" w:cs="Times New Roman"/>
          <w:lang w:val="en-NZ"/>
        </w:rPr>
        <w:t xml:space="preserve"> financial sustainability</w:t>
      </w:r>
      <w:r>
        <w:rPr>
          <w:rFonts w:hAnsi="Times New Roman" w:cs="Times New Roman"/>
          <w:lang w:val="en-NZ"/>
        </w:rPr>
        <w:t xml:space="preserve"> is</w:t>
      </w:r>
      <w:r w:rsidR="00470C06">
        <w:rPr>
          <w:rFonts w:hAnsi="Times New Roman" w:cs="Times New Roman"/>
          <w:lang w:val="en-NZ"/>
        </w:rPr>
        <w:t xml:space="preserve"> the analysis of (Jewish) Orthodox Kibbutzim from 1958-82 by Fishman and Goldschmidt (1990).</w:t>
      </w:r>
      <w:r>
        <w:rPr>
          <w:rFonts w:hAnsi="Times New Roman" w:cs="Times New Roman"/>
          <w:lang w:val="en-NZ"/>
        </w:rPr>
        <w:t xml:space="preserve"> </w:t>
      </w:r>
      <w:r w:rsidR="00470C06">
        <w:rPr>
          <w:rFonts w:hAnsi="Times New Roman" w:cs="Times New Roman"/>
          <w:lang w:val="en-NZ"/>
        </w:rPr>
        <w:t>Traditionally based on agriculture, these collective communities combine capitalism and Zionism</w:t>
      </w:r>
      <w:r w:rsidR="00470C06">
        <w:rPr>
          <w:rStyle w:val="EndnoteReference"/>
          <w:rFonts w:hAnsi="Times New Roman" w:cs="Times New Roman"/>
          <w:lang w:val="en-NZ"/>
        </w:rPr>
        <w:endnoteReference w:id="16"/>
      </w:r>
      <w:r w:rsidR="00470C06">
        <w:rPr>
          <w:rFonts w:hAnsi="Times New Roman" w:cs="Times New Roman"/>
          <w:lang w:val="en-NZ"/>
        </w:rPr>
        <w:t xml:space="preserve">, </w:t>
      </w:r>
      <w:r w:rsidR="00A14659">
        <w:rPr>
          <w:rFonts w:hAnsi="Times New Roman" w:cs="Times New Roman"/>
          <w:lang w:val="en-NZ"/>
        </w:rPr>
        <w:t>with</w:t>
      </w:r>
      <w:r w:rsidR="00470C06">
        <w:rPr>
          <w:rFonts w:hAnsi="Times New Roman" w:cs="Times New Roman"/>
          <w:lang w:val="en-NZ"/>
        </w:rPr>
        <w:t xml:space="preserve"> some kibbutzim </w:t>
      </w:r>
      <w:r w:rsidR="00A14659">
        <w:rPr>
          <w:rFonts w:hAnsi="Times New Roman" w:cs="Times New Roman"/>
          <w:lang w:val="en-NZ"/>
        </w:rPr>
        <w:t>being</w:t>
      </w:r>
      <w:r w:rsidR="00470C06">
        <w:rPr>
          <w:rFonts w:hAnsi="Times New Roman" w:cs="Times New Roman"/>
          <w:lang w:val="en-NZ"/>
        </w:rPr>
        <w:t xml:space="preserve"> secular and others religiously-based. Fishman and Goldschmidt (1990) show that religious kibbutzim </w:t>
      </w:r>
      <w:r w:rsidR="00566B50">
        <w:rPr>
          <w:rFonts w:hAnsi="Times New Roman" w:cs="Times New Roman"/>
          <w:lang w:val="en-NZ"/>
        </w:rPr>
        <w:t xml:space="preserve">established </w:t>
      </w:r>
      <w:r w:rsidR="006F3820">
        <w:rPr>
          <w:rFonts w:hAnsi="Times New Roman" w:cs="Times New Roman"/>
          <w:lang w:val="en-NZ"/>
        </w:rPr>
        <w:t>within</w:t>
      </w:r>
      <w:r w:rsidR="0090528D">
        <w:rPr>
          <w:rFonts w:hAnsi="Times New Roman" w:cs="Times New Roman"/>
          <w:lang w:val="en-NZ"/>
        </w:rPr>
        <w:t xml:space="preserve"> (orthodox) rabbinic Judaism were more successful than secular </w:t>
      </w:r>
      <w:r>
        <w:rPr>
          <w:rFonts w:hAnsi="Times New Roman" w:cs="Times New Roman"/>
          <w:lang w:val="en-NZ"/>
        </w:rPr>
        <w:t>kibbutzim</w:t>
      </w:r>
      <w:r w:rsidR="0090528D">
        <w:rPr>
          <w:rFonts w:hAnsi="Times New Roman" w:cs="Times New Roman"/>
          <w:lang w:val="en-NZ"/>
        </w:rPr>
        <w:t xml:space="preserve">, even after the </w:t>
      </w:r>
      <w:r w:rsidR="00A14659">
        <w:rPr>
          <w:rFonts w:hAnsi="Times New Roman" w:cs="Times New Roman"/>
          <w:lang w:val="en-NZ"/>
        </w:rPr>
        <w:t>Israeli G</w:t>
      </w:r>
      <w:r w:rsidR="0090528D">
        <w:rPr>
          <w:rFonts w:hAnsi="Times New Roman" w:cs="Times New Roman"/>
          <w:lang w:val="en-NZ"/>
        </w:rPr>
        <w:t>overnment</w:t>
      </w:r>
      <w:r w:rsidR="00A14659">
        <w:rPr>
          <w:rFonts w:hAnsi="Times New Roman" w:cs="Times New Roman"/>
          <w:lang w:val="en-NZ"/>
        </w:rPr>
        <w:t>’s</w:t>
      </w:r>
      <w:r w:rsidR="0090528D">
        <w:rPr>
          <w:rFonts w:hAnsi="Times New Roman" w:cs="Times New Roman"/>
          <w:lang w:val="en-NZ"/>
        </w:rPr>
        <w:t xml:space="preserve"> 1978 suspension of subsidised credit to these institutions. This </w:t>
      </w:r>
      <w:r w:rsidR="00A14659">
        <w:rPr>
          <w:rFonts w:hAnsi="Times New Roman" w:cs="Times New Roman"/>
          <w:lang w:val="en-NZ"/>
        </w:rPr>
        <w:t xml:space="preserve">success </w:t>
      </w:r>
      <w:r w:rsidR="0090528D">
        <w:rPr>
          <w:rFonts w:hAnsi="Times New Roman" w:cs="Times New Roman"/>
          <w:lang w:val="en-NZ"/>
        </w:rPr>
        <w:t>was due to the</w:t>
      </w:r>
      <w:r w:rsidR="006F3820">
        <w:rPr>
          <w:rFonts w:hAnsi="Times New Roman" w:cs="Times New Roman"/>
          <w:lang w:val="en-NZ"/>
        </w:rPr>
        <w:t>ir</w:t>
      </w:r>
      <w:r w:rsidR="0090528D">
        <w:rPr>
          <w:rFonts w:hAnsi="Times New Roman" w:cs="Times New Roman"/>
          <w:lang w:val="en-NZ"/>
        </w:rPr>
        <w:t xml:space="preserve"> ‘highly congruous’ ethic and socio-political structures</w:t>
      </w:r>
      <w:r w:rsidR="00A14659">
        <w:rPr>
          <w:rFonts w:hAnsi="Times New Roman" w:cs="Times New Roman"/>
          <w:lang w:val="en-NZ"/>
        </w:rPr>
        <w:t xml:space="preserve"> (as can also be seen in Benedictine abbeys - </w:t>
      </w:r>
      <w:r w:rsidR="00A14659" w:rsidRPr="002925AE">
        <w:rPr>
          <w:rFonts w:hAnsi="Times New Roman" w:cs="Times New Roman"/>
          <w:lang w:val="en-NZ"/>
        </w:rPr>
        <w:t>Payer-Langthaler &amp; Hiebl, 2013</w:t>
      </w:r>
      <w:r w:rsidR="00A14659">
        <w:rPr>
          <w:rFonts w:hAnsi="Times New Roman" w:cs="Times New Roman"/>
          <w:lang w:val="en-NZ"/>
        </w:rPr>
        <w:t>)</w:t>
      </w:r>
      <w:r w:rsidR="0090528D">
        <w:rPr>
          <w:rFonts w:hAnsi="Times New Roman" w:cs="Times New Roman"/>
          <w:lang w:val="en-NZ"/>
        </w:rPr>
        <w:t>. Specifically, the emphasis on self-restraint, and interlocked economic and religious norm</w:t>
      </w:r>
      <w:r>
        <w:rPr>
          <w:rFonts w:hAnsi="Times New Roman" w:cs="Times New Roman"/>
          <w:lang w:val="en-NZ"/>
        </w:rPr>
        <w:t>s, enabled the Jewish/</w:t>
      </w:r>
      <w:r w:rsidR="0090528D">
        <w:rPr>
          <w:rFonts w:hAnsi="Times New Roman" w:cs="Times New Roman"/>
          <w:lang w:val="en-NZ"/>
        </w:rPr>
        <w:t xml:space="preserve">socialist structures </w:t>
      </w:r>
      <w:r>
        <w:rPr>
          <w:rFonts w:hAnsi="Times New Roman" w:cs="Times New Roman"/>
          <w:lang w:val="en-NZ"/>
        </w:rPr>
        <w:t xml:space="preserve">to </w:t>
      </w:r>
      <w:r w:rsidR="0090528D">
        <w:rPr>
          <w:rFonts w:hAnsi="Times New Roman" w:cs="Times New Roman"/>
          <w:lang w:val="en-NZ"/>
        </w:rPr>
        <w:t xml:space="preserve">reward mutual aid and responsibility (Fishman and Goldschmidt, 1990). </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Enterprises to further religious mission</w:t>
      </w:r>
    </w:p>
    <w:p w:rsidR="00366B6D" w:rsidRPr="002925AE" w:rsidRDefault="00351FC1" w:rsidP="007D3040">
      <w:pPr>
        <w:spacing w:after="120" w:line="360" w:lineRule="auto"/>
        <w:ind w:firstLine="720"/>
        <w:rPr>
          <w:rFonts w:hAnsi="Times New Roman" w:cs="Times New Roman"/>
          <w:lang w:val="en-NZ"/>
        </w:rPr>
      </w:pPr>
      <w:r>
        <w:rPr>
          <w:rFonts w:hAnsi="Times New Roman"/>
          <w:lang w:val="en-GB"/>
        </w:rPr>
        <w:t xml:space="preserve">In addition to social enterprise, another type of enterprise </w:t>
      </w:r>
      <w:r w:rsidR="000D1A57" w:rsidRPr="002925AE">
        <w:rPr>
          <w:rFonts w:hAnsi="Times New Roman" w:cs="Times New Roman"/>
          <w:lang w:val="en-NZ"/>
        </w:rPr>
        <w:t>related to a church, temple or monastery, is one that supports the mission of the church by providing contacts to proselytise</w:t>
      </w:r>
      <w:r w:rsidR="00E61656">
        <w:rPr>
          <w:rFonts w:hAnsi="Times New Roman" w:cs="Times New Roman"/>
          <w:lang w:val="en-NZ"/>
        </w:rPr>
        <w:t>, or to retain adherents</w:t>
      </w:r>
      <w:r w:rsidR="00566B50">
        <w:rPr>
          <w:rFonts w:hAnsi="Times New Roman" w:cs="Times New Roman"/>
          <w:lang w:val="en-NZ"/>
        </w:rPr>
        <w:t>. Ho</w:t>
      </w:r>
      <w:r w:rsidR="000D1A57" w:rsidRPr="002925AE">
        <w:rPr>
          <w:rFonts w:hAnsi="Times New Roman" w:cs="Times New Roman"/>
          <w:lang w:val="en-NZ"/>
        </w:rPr>
        <w:t xml:space="preserve">ng (2014: 199) </w:t>
      </w:r>
      <w:r w:rsidR="00250E50">
        <w:rPr>
          <w:rFonts w:hAnsi="Times New Roman" w:cs="Times New Roman"/>
          <w:lang w:val="en-NZ"/>
        </w:rPr>
        <w:t>explains</w:t>
      </w:r>
      <w:r w:rsidR="000D1A57" w:rsidRPr="002925AE">
        <w:rPr>
          <w:rFonts w:hAnsi="Times New Roman" w:cs="Times New Roman"/>
          <w:lang w:val="en-NZ"/>
        </w:rPr>
        <w:t xml:space="preserve"> that Buddhist temples along the Silk Route, which offered board and lodging, not only received donations in return, but also adherents</w:t>
      </w:r>
      <w:r w:rsidR="00A14659">
        <w:rPr>
          <w:rFonts w:hAnsi="Times New Roman" w:cs="Times New Roman"/>
          <w:lang w:val="en-NZ"/>
        </w:rPr>
        <w:t>,</w:t>
      </w:r>
      <w:r w:rsidR="000D1A57" w:rsidRPr="002925AE">
        <w:rPr>
          <w:rFonts w:hAnsi="Times New Roman" w:cs="Times New Roman"/>
          <w:lang w:val="en-NZ"/>
        </w:rPr>
        <w:t xml:space="preserve"> as "faithful merchants propagated the religion".</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Madonna, Maran and Cestari (2014: 507) consider the University of Ferrara in 1771 and 1824, noting that “[t]he Church and higher education in Europe have a long and interconnected history”. In order to develop adherents, the church developed popular education (in Europe and beyond - for example, Alvarez-Dardet Espejo et al., 2006; Fowler, 2010; Madonna et al., 2014).</w:t>
      </w:r>
      <w:r w:rsidRPr="002925AE">
        <w:rPr>
          <w:rFonts w:hAnsi="Times New Roman" w:cs="Times New Roman"/>
          <w:vertAlign w:val="superscript"/>
          <w:lang w:val="en-NZ"/>
        </w:rPr>
        <w:endnoteReference w:id="17"/>
      </w:r>
      <w:r w:rsidRPr="002925AE">
        <w:rPr>
          <w:rFonts w:hAnsi="Times New Roman" w:cs="Times New Roman"/>
          <w:lang w:val="en-NZ"/>
        </w:rPr>
        <w:t xml:space="preserve"> Madonna et al. (2014) utilise Foucault’s governmentality framework, showing that the Papal State (i.e. the Roman Catholic Church) worked with the University’s governing bodies to control what was taught (especially in morality), student and faculty behaviour, and staff promotion. The university appeared to be run to further the church mission, rather than as a social enterprise, as its major funding comprised duties and taxes collected by the church from its other activities (Madonna et al., 2014). </w:t>
      </w:r>
    </w:p>
    <w:p w:rsidR="00366B6D" w:rsidRPr="002925AE" w:rsidRDefault="00BF00AE" w:rsidP="007D3040">
      <w:pPr>
        <w:spacing w:after="120" w:line="360" w:lineRule="auto"/>
        <w:ind w:firstLine="720"/>
        <w:rPr>
          <w:rFonts w:hAnsi="Times New Roman" w:cs="Times New Roman"/>
          <w:lang w:val="en-NZ"/>
        </w:rPr>
      </w:pPr>
      <w:r>
        <w:rPr>
          <w:rFonts w:hAnsi="Times New Roman" w:cs="Times New Roman"/>
          <w:lang w:val="en-NZ"/>
        </w:rPr>
        <w:t>Intensifying</w:t>
      </w:r>
      <w:r w:rsidR="000D1A57" w:rsidRPr="002925AE">
        <w:rPr>
          <w:rFonts w:hAnsi="Times New Roman" w:cs="Times New Roman"/>
          <w:lang w:val="en-NZ"/>
        </w:rPr>
        <w:t xml:space="preserve"> control was also evident in Ferrara’s St Anna’s hospital studied by Bracci, Maran and Vagnoni (2010) which, in 1598, was devolved from the secular Estense’s Dukedom to the Papal State. While the role of priests changed little as the hospital altered from being a charity to being included in the Papal State, their numerical superiority (compared to physicians) decreased as the hospital was increasingly run for efficiency. This suggests close control by the church authorities who sought to construct “a new organisational order” which was increasingly bureaucratic and focused on economy (Bracci et al., 2010: 486). Gatti and Poli (2014) also </w:t>
      </w:r>
      <w:r w:rsidR="00250E50">
        <w:rPr>
          <w:rFonts w:hAnsi="Times New Roman" w:cs="Times New Roman"/>
          <w:lang w:val="en-NZ"/>
        </w:rPr>
        <w:t>explore</w:t>
      </w:r>
      <w:r w:rsidR="000D1A57" w:rsidRPr="002925AE">
        <w:rPr>
          <w:rFonts w:hAnsi="Times New Roman" w:cs="Times New Roman"/>
          <w:lang w:val="en-NZ"/>
        </w:rPr>
        <w:t xml:space="preserve"> the rise of the Papal State, consider</w:t>
      </w:r>
      <w:r w:rsidR="00250E50">
        <w:rPr>
          <w:rFonts w:hAnsi="Times New Roman" w:cs="Times New Roman"/>
          <w:lang w:val="en-NZ"/>
        </w:rPr>
        <w:t>ing</w:t>
      </w:r>
      <w:r w:rsidR="000D1A57" w:rsidRPr="002925AE">
        <w:rPr>
          <w:rFonts w:hAnsi="Times New Roman" w:cs="Times New Roman"/>
          <w:lang w:val="en-NZ"/>
        </w:rPr>
        <w:t xml:space="preserve"> the influences of the </w:t>
      </w:r>
      <w:r w:rsidR="000D1A57" w:rsidRPr="002925AE">
        <w:rPr>
          <w:rFonts w:hAnsi="Times New Roman" w:cs="Times New Roman"/>
          <w:i/>
          <w:iCs/>
          <w:lang w:val="en-NZ"/>
        </w:rPr>
        <w:t>Pro Commissar Bull</w:t>
      </w:r>
      <w:r w:rsidR="000D1A57" w:rsidRPr="002925AE">
        <w:rPr>
          <w:rFonts w:hAnsi="Times New Roman" w:cs="Times New Roman"/>
          <w:lang w:val="en-NZ"/>
        </w:rPr>
        <w:t xml:space="preserve"> (1592). Similar to Bracci et al. (2010), they find high levels of control and accountability being demanded by the Pope through standing committees. In neither case do these studies elaborate on the service changes that occurred as the church took control, therefore it is difficult to assess whether these efficiencies also assisted the church to attract more adherents.</w:t>
      </w:r>
      <w:r w:rsidR="000D1A57" w:rsidRPr="002925AE">
        <w:rPr>
          <w:rFonts w:hAnsi="Times New Roman" w:cs="Times New Roman"/>
          <w:vertAlign w:val="superscript"/>
          <w:lang w:val="en-NZ"/>
        </w:rPr>
        <w:endnoteReference w:id="18"/>
      </w:r>
    </w:p>
    <w:p w:rsidR="00366B6D" w:rsidRPr="00C07FC1" w:rsidRDefault="000D1A57" w:rsidP="007D3040">
      <w:pPr>
        <w:spacing w:after="120" w:line="360" w:lineRule="auto"/>
        <w:ind w:firstLine="720"/>
        <w:rPr>
          <w:rFonts w:hAnsi="Times New Roman" w:cs="Times New Roman"/>
          <w:lang w:val="en-NZ"/>
        </w:rPr>
      </w:pPr>
      <w:r w:rsidRPr="002925AE">
        <w:rPr>
          <w:rFonts w:hAnsi="Times New Roman" w:cs="Times New Roman"/>
          <w:i/>
          <w:iCs/>
          <w:lang w:val="en-NZ"/>
        </w:rPr>
        <w:t>Waqfs</w:t>
      </w:r>
      <w:r w:rsidRPr="002925AE">
        <w:rPr>
          <w:rFonts w:hAnsi="Times New Roman" w:cs="Times New Roman"/>
          <w:lang w:val="en-NZ"/>
        </w:rPr>
        <w:t xml:space="preserve"> established by individuals (in accountability to the </w:t>
      </w:r>
      <w:r w:rsidRPr="00C07FC1">
        <w:rPr>
          <w:rFonts w:hAnsi="Times New Roman" w:cs="Times New Roman"/>
          <w:i/>
          <w:lang w:val="en-NZ"/>
        </w:rPr>
        <w:t>Quran</w:t>
      </w:r>
      <w:r w:rsidRPr="002925AE">
        <w:rPr>
          <w:rFonts w:hAnsi="Times New Roman" w:cs="Times New Roman"/>
          <w:lang w:val="en-NZ"/>
        </w:rPr>
        <w:t>) may also run mosques for prayer, charitable operations and social enterprises, to increase devotion. Yayla</w:t>
      </w:r>
      <w:r w:rsidR="00477E07">
        <w:rPr>
          <w:rFonts w:hAnsi="Times New Roman" w:cs="Times New Roman"/>
          <w:lang w:val="en-NZ"/>
        </w:rPr>
        <w:t>’s</w:t>
      </w:r>
      <w:r w:rsidRPr="002925AE">
        <w:rPr>
          <w:rFonts w:hAnsi="Times New Roman" w:cs="Times New Roman"/>
          <w:lang w:val="en-NZ"/>
        </w:rPr>
        <w:t xml:space="preserve"> (2011) </w:t>
      </w:r>
      <w:r w:rsidR="00250E50">
        <w:rPr>
          <w:rFonts w:hAnsi="Times New Roman" w:cs="Times New Roman"/>
          <w:lang w:val="en-NZ"/>
        </w:rPr>
        <w:t>research into</w:t>
      </w:r>
      <w:r w:rsidRPr="002925AE">
        <w:rPr>
          <w:rFonts w:hAnsi="Times New Roman" w:cs="Times New Roman"/>
          <w:lang w:val="en-NZ"/>
        </w:rPr>
        <w:t xml:space="preserve"> the Sultan Süleyman </w:t>
      </w:r>
      <w:r w:rsidRPr="002925AE">
        <w:rPr>
          <w:rFonts w:hAnsi="Times New Roman" w:cs="Times New Roman"/>
          <w:i/>
          <w:iCs/>
          <w:lang w:val="en-NZ"/>
        </w:rPr>
        <w:t>Waqf</w:t>
      </w:r>
      <w:r w:rsidRPr="002925AE">
        <w:rPr>
          <w:rFonts w:hAnsi="Times New Roman" w:cs="Times New Roman"/>
          <w:lang w:val="en-NZ"/>
        </w:rPr>
        <w:t xml:space="preserve"> of the Ottoman Empire </w:t>
      </w:r>
      <w:r w:rsidR="00C07FC1">
        <w:rPr>
          <w:rFonts w:hAnsi="Times New Roman" w:cs="Times New Roman"/>
          <w:lang w:val="en-NZ"/>
        </w:rPr>
        <w:t>in 1826</w:t>
      </w:r>
      <w:r w:rsidRPr="002925AE">
        <w:rPr>
          <w:rFonts w:hAnsi="Times New Roman" w:cs="Times New Roman"/>
          <w:lang w:val="en-NZ"/>
        </w:rPr>
        <w:t xml:space="preserve">, similarly to Bracci et al. (2010), </w:t>
      </w:r>
      <w:r w:rsidR="00477E07">
        <w:rPr>
          <w:rFonts w:hAnsi="Times New Roman" w:cs="Times New Roman"/>
          <w:lang w:val="en-NZ"/>
        </w:rPr>
        <w:t>finds that</w:t>
      </w:r>
      <w:r w:rsidRPr="002925AE">
        <w:rPr>
          <w:rFonts w:hAnsi="Times New Roman" w:cs="Times New Roman"/>
          <w:lang w:val="en-NZ"/>
        </w:rPr>
        <w:t xml:space="preserve"> government regulation over this religious enterprise disrupted its prior autonomy. Using a Foucauldian governmentality framework, Yayla (2011) describes controls introduced in 1826 over </w:t>
      </w:r>
      <w:r w:rsidRPr="002925AE">
        <w:rPr>
          <w:rFonts w:hAnsi="Times New Roman" w:cs="Times New Roman"/>
          <w:i/>
          <w:iCs/>
          <w:lang w:val="en-NZ"/>
        </w:rPr>
        <w:t>waqf</w:t>
      </w:r>
      <w:r w:rsidRPr="002925AE">
        <w:rPr>
          <w:rFonts w:hAnsi="Times New Roman" w:cs="Times New Roman"/>
          <w:lang w:val="en-NZ"/>
        </w:rPr>
        <w:t xml:space="preserve"> management in order to increase their ‘efficiency’ as well as to weaken the power of the religious authorities. </w:t>
      </w:r>
      <w:r w:rsidR="00477E07" w:rsidRPr="002925AE">
        <w:rPr>
          <w:rFonts w:hAnsi="Times New Roman" w:cs="Times New Roman"/>
          <w:lang w:val="en-NZ"/>
        </w:rPr>
        <w:t>Despite resistance</w:t>
      </w:r>
      <w:r w:rsidR="00477E07">
        <w:rPr>
          <w:rFonts w:hAnsi="Times New Roman" w:cs="Times New Roman"/>
          <w:lang w:val="en-NZ"/>
        </w:rPr>
        <w:t>, c</w:t>
      </w:r>
      <w:r w:rsidRPr="002925AE">
        <w:rPr>
          <w:rFonts w:hAnsi="Times New Roman" w:cs="Times New Roman"/>
          <w:lang w:val="en-NZ"/>
        </w:rPr>
        <w:t>ontrols included new accounting and calculative techniques</w:t>
      </w:r>
      <w:r w:rsidR="00477E07">
        <w:rPr>
          <w:rFonts w:hAnsi="Times New Roman" w:cs="Times New Roman"/>
          <w:lang w:val="en-NZ"/>
        </w:rPr>
        <w:t>,</w:t>
      </w:r>
      <w:r w:rsidRPr="002925AE">
        <w:rPr>
          <w:rFonts w:hAnsi="Times New Roman" w:cs="Times New Roman"/>
          <w:lang w:val="en-NZ"/>
        </w:rPr>
        <w:t xml:space="preserve"> inspection</w:t>
      </w:r>
      <w:r w:rsidR="00477E07">
        <w:rPr>
          <w:rFonts w:hAnsi="Times New Roman" w:cs="Times New Roman"/>
          <w:lang w:val="en-NZ"/>
        </w:rPr>
        <w:t>,</w:t>
      </w:r>
      <w:r w:rsidRPr="002925AE">
        <w:rPr>
          <w:rFonts w:hAnsi="Times New Roman" w:cs="Times New Roman"/>
          <w:lang w:val="en-NZ"/>
        </w:rPr>
        <w:t xml:space="preserve"> and </w:t>
      </w:r>
      <w:r w:rsidR="00477E07">
        <w:rPr>
          <w:rFonts w:hAnsi="Times New Roman" w:cs="Times New Roman"/>
          <w:lang w:val="en-NZ"/>
        </w:rPr>
        <w:t>the requirement</w:t>
      </w:r>
      <w:r w:rsidRPr="002925AE">
        <w:rPr>
          <w:rFonts w:hAnsi="Times New Roman" w:cs="Times New Roman"/>
          <w:lang w:val="en-NZ"/>
        </w:rPr>
        <w:t xml:space="preserve"> to ret</w:t>
      </w:r>
      <w:r w:rsidR="00477E07">
        <w:rPr>
          <w:rFonts w:hAnsi="Times New Roman" w:cs="Times New Roman"/>
          <w:lang w:val="en-NZ"/>
        </w:rPr>
        <w:t>urn surpluses to the government</w:t>
      </w:r>
      <w:r w:rsidRPr="002925AE">
        <w:rPr>
          <w:rFonts w:hAnsi="Times New Roman" w:cs="Times New Roman"/>
          <w:lang w:val="en-NZ"/>
        </w:rPr>
        <w:t>.</w:t>
      </w:r>
      <w:r w:rsidRPr="002925AE">
        <w:rPr>
          <w:rFonts w:hAnsi="Times New Roman" w:cs="Times New Roman"/>
          <w:vertAlign w:val="superscript"/>
          <w:lang w:val="en-NZ"/>
        </w:rPr>
        <w:endnoteReference w:id="19"/>
      </w:r>
      <w:r w:rsidRPr="002925AE">
        <w:rPr>
          <w:rFonts w:hAnsi="Times New Roman" w:cs="Times New Roman"/>
          <w:lang w:val="en-NZ"/>
        </w:rPr>
        <w:t xml:space="preserve"> </w:t>
      </w:r>
      <w:r w:rsidR="00C07FC1">
        <w:rPr>
          <w:rFonts w:hAnsi="Times New Roman" w:cs="Times New Roman"/>
          <w:lang w:val="en-NZ"/>
        </w:rPr>
        <w:t xml:space="preserve">While not specifically theorized, Melčák (2010) also </w:t>
      </w:r>
      <w:r w:rsidR="00250E50">
        <w:rPr>
          <w:rFonts w:hAnsi="Times New Roman" w:cs="Times New Roman"/>
          <w:lang w:val="en-NZ"/>
        </w:rPr>
        <w:t>investigates</w:t>
      </w:r>
      <w:r w:rsidR="00C07FC1">
        <w:rPr>
          <w:rFonts w:hAnsi="Times New Roman" w:cs="Times New Roman"/>
          <w:lang w:val="en-NZ"/>
        </w:rPr>
        <w:t xml:space="preserve"> supervisory arrangements for </w:t>
      </w:r>
      <w:r w:rsidR="00C07FC1" w:rsidRPr="00C07FC1">
        <w:rPr>
          <w:rFonts w:hAnsi="Times New Roman" w:cs="Times New Roman"/>
          <w:i/>
          <w:lang w:val="en-NZ"/>
        </w:rPr>
        <w:t>waqfs</w:t>
      </w:r>
      <w:r w:rsidR="00C07FC1">
        <w:rPr>
          <w:rFonts w:hAnsi="Times New Roman" w:cs="Times New Roman"/>
          <w:lang w:val="en-NZ"/>
        </w:rPr>
        <w:t xml:space="preserve"> in his review of the development of the Egyptian </w:t>
      </w:r>
      <w:r w:rsidR="00C07FC1" w:rsidRPr="00C07FC1">
        <w:rPr>
          <w:rFonts w:hAnsi="Times New Roman" w:cs="Times New Roman"/>
          <w:i/>
          <w:lang w:val="en-NZ"/>
        </w:rPr>
        <w:t>dīwān al-awqāf</w:t>
      </w:r>
      <w:r w:rsidR="00C07FC1">
        <w:rPr>
          <w:rFonts w:hAnsi="Times New Roman" w:cs="Times New Roman"/>
          <w:lang w:val="en-NZ"/>
        </w:rPr>
        <w:t xml:space="preserve"> </w:t>
      </w:r>
      <w:r w:rsidR="00566B50">
        <w:rPr>
          <w:rFonts w:hAnsi="Times New Roman" w:cs="Times New Roman"/>
          <w:lang w:val="en-NZ"/>
        </w:rPr>
        <w:t>in</w:t>
      </w:r>
      <w:r w:rsidR="00C07FC1">
        <w:rPr>
          <w:rFonts w:hAnsi="Times New Roman" w:cs="Times New Roman"/>
          <w:lang w:val="en-NZ"/>
        </w:rPr>
        <w:t xml:space="preserve"> 1837</w:t>
      </w:r>
      <w:r w:rsidR="00566B50">
        <w:rPr>
          <w:rFonts w:hAnsi="Times New Roman" w:cs="Times New Roman"/>
          <w:lang w:val="en-NZ"/>
        </w:rPr>
        <w:t xml:space="preserve"> and </w:t>
      </w:r>
      <w:r w:rsidR="00C07FC1">
        <w:rPr>
          <w:rFonts w:hAnsi="Times New Roman" w:cs="Times New Roman"/>
          <w:lang w:val="en-NZ"/>
        </w:rPr>
        <w:t xml:space="preserve">1851. Auditing was required under the 1837 regulations, while the 1851 regulations specifically sought to reduce unethical practices by individual </w:t>
      </w:r>
      <w:r w:rsidR="00C07FC1" w:rsidRPr="00C07FC1">
        <w:rPr>
          <w:rFonts w:hAnsi="Times New Roman" w:cs="Times New Roman"/>
          <w:i/>
          <w:lang w:val="en-NZ"/>
        </w:rPr>
        <w:t>waqf</w:t>
      </w:r>
      <w:r w:rsidR="00C07FC1">
        <w:rPr>
          <w:rFonts w:hAnsi="Times New Roman" w:cs="Times New Roman"/>
          <w:lang w:val="en-NZ"/>
        </w:rPr>
        <w:t xml:space="preserve"> administrators, with the </w:t>
      </w:r>
      <w:r w:rsidR="00C07FC1" w:rsidRPr="00C07FC1">
        <w:rPr>
          <w:rFonts w:hAnsi="Times New Roman" w:cs="Times New Roman"/>
          <w:i/>
          <w:lang w:val="en-NZ"/>
        </w:rPr>
        <w:t>dīwān al-awqāf</w:t>
      </w:r>
      <w:r w:rsidR="00C07FC1">
        <w:rPr>
          <w:rFonts w:hAnsi="Times New Roman" w:cs="Times New Roman"/>
          <w:i/>
          <w:lang w:val="en-NZ"/>
        </w:rPr>
        <w:t xml:space="preserve"> </w:t>
      </w:r>
      <w:r w:rsidR="00C07FC1">
        <w:rPr>
          <w:rFonts w:hAnsi="Times New Roman" w:cs="Times New Roman"/>
          <w:lang w:val="en-NZ"/>
        </w:rPr>
        <w:t xml:space="preserve">centralising accounting and controlling many of the </w:t>
      </w:r>
      <w:r w:rsidR="00C07FC1" w:rsidRPr="00C07FC1">
        <w:rPr>
          <w:rFonts w:hAnsi="Times New Roman" w:cs="Times New Roman"/>
          <w:i/>
          <w:lang w:val="en-NZ"/>
        </w:rPr>
        <w:t>waqfs</w:t>
      </w:r>
      <w:r w:rsidR="00C07FC1">
        <w:rPr>
          <w:rFonts w:hAnsi="Times New Roman" w:cs="Times New Roman"/>
          <w:lang w:val="en-NZ"/>
        </w:rPr>
        <w:t xml:space="preserve"> it regulated.</w:t>
      </w:r>
    </w:p>
    <w:p w:rsidR="006F3820" w:rsidRDefault="000D1A57" w:rsidP="007D3040">
      <w:pPr>
        <w:spacing w:after="120" w:line="360" w:lineRule="auto"/>
        <w:ind w:firstLine="720"/>
        <w:rPr>
          <w:rFonts w:hAnsi="Times New Roman" w:cs="Times New Roman"/>
          <w:lang w:val="en-NZ"/>
        </w:rPr>
      </w:pPr>
      <w:r w:rsidRPr="002925AE">
        <w:rPr>
          <w:rFonts w:hAnsi="Times New Roman" w:cs="Times New Roman"/>
          <w:lang w:val="en-NZ"/>
        </w:rPr>
        <w:t>A further enterprise developed as a religious mission to alleviate the social problems of the poor, was that of pawnbroking or micro-finance. H</w:t>
      </w:r>
      <w:r w:rsidR="00566B50">
        <w:rPr>
          <w:rFonts w:hAnsi="Times New Roman" w:cs="Times New Roman"/>
          <w:lang w:val="en-NZ"/>
        </w:rPr>
        <w:t>o</w:t>
      </w:r>
      <w:r w:rsidRPr="002925AE">
        <w:rPr>
          <w:rFonts w:hAnsi="Times New Roman" w:cs="Times New Roman"/>
          <w:lang w:val="en-NZ"/>
        </w:rPr>
        <w:t xml:space="preserve">ng (2014) discusses the granary loans made by Chinese Buddhist temples to enable peasant farmers to sow new crops. </w:t>
      </w:r>
      <w:r w:rsidR="00C33F26">
        <w:rPr>
          <w:rFonts w:hAnsi="Times New Roman" w:cs="Times New Roman"/>
          <w:lang w:val="en-NZ"/>
        </w:rPr>
        <w:t>Ornatowski (1996) call</w:t>
      </w:r>
      <w:r w:rsidR="00A14659">
        <w:rPr>
          <w:rFonts w:hAnsi="Times New Roman" w:cs="Times New Roman"/>
          <w:lang w:val="en-NZ"/>
        </w:rPr>
        <w:t>s</w:t>
      </w:r>
      <w:r w:rsidR="00C33F26">
        <w:rPr>
          <w:rFonts w:hAnsi="Times New Roman" w:cs="Times New Roman"/>
          <w:lang w:val="en-NZ"/>
        </w:rPr>
        <w:t xml:space="preserve"> these profitable activities ‘usurious’</w:t>
      </w:r>
      <w:r w:rsidR="00477E07">
        <w:rPr>
          <w:rFonts w:hAnsi="Times New Roman" w:cs="Times New Roman"/>
          <w:lang w:val="en-NZ"/>
        </w:rPr>
        <w:t>; further</w:t>
      </w:r>
      <w:r w:rsidR="00C33F26">
        <w:rPr>
          <w:rFonts w:hAnsi="Times New Roman" w:cs="Times New Roman"/>
          <w:lang w:val="en-NZ"/>
        </w:rPr>
        <w:t xml:space="preserve"> not</w:t>
      </w:r>
      <w:r w:rsidR="00477E07">
        <w:rPr>
          <w:rFonts w:hAnsi="Times New Roman" w:cs="Times New Roman"/>
          <w:lang w:val="en-NZ"/>
        </w:rPr>
        <w:t>ing</w:t>
      </w:r>
      <w:r w:rsidR="00C33F26">
        <w:rPr>
          <w:rFonts w:hAnsi="Times New Roman" w:cs="Times New Roman"/>
          <w:lang w:val="en-NZ"/>
        </w:rPr>
        <w:t xml:space="preserve"> the periodic persecution of Buddhism by the Chinese state, </w:t>
      </w:r>
      <w:r w:rsidR="00477E07">
        <w:rPr>
          <w:rFonts w:hAnsi="Times New Roman" w:cs="Times New Roman"/>
          <w:lang w:val="en-NZ"/>
        </w:rPr>
        <w:t>as it sought</w:t>
      </w:r>
      <w:r w:rsidR="00C33F26">
        <w:rPr>
          <w:rFonts w:hAnsi="Times New Roman" w:cs="Times New Roman"/>
          <w:lang w:val="en-NZ"/>
        </w:rPr>
        <w:t xml:space="preserve"> to reduce its revenue losses to these otherwise tax-exempt organisations</w:t>
      </w:r>
      <w:r w:rsidRPr="002925AE">
        <w:rPr>
          <w:rFonts w:hAnsi="Times New Roman" w:cs="Times New Roman"/>
          <w:lang w:val="en-NZ"/>
        </w:rPr>
        <w:t xml:space="preserve">. </w:t>
      </w:r>
    </w:p>
    <w:p w:rsidR="00366B6D" w:rsidRPr="0099646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Orelli, del Sordo and Fornasari (2013: 277) also </w:t>
      </w:r>
      <w:r w:rsidR="00250E50">
        <w:rPr>
          <w:rFonts w:hAnsi="Times New Roman" w:cs="Times New Roman"/>
          <w:lang w:val="en-NZ"/>
        </w:rPr>
        <w:t>report on</w:t>
      </w:r>
      <w:r w:rsidRPr="002925AE">
        <w:rPr>
          <w:rFonts w:hAnsi="Times New Roman" w:cs="Times New Roman"/>
          <w:lang w:val="en-NZ"/>
        </w:rPr>
        <w:t xml:space="preserve"> </w:t>
      </w:r>
      <w:r w:rsidR="00250E50">
        <w:rPr>
          <w:rFonts w:hAnsi="Times New Roman" w:cs="Times New Roman"/>
          <w:lang w:val="en-NZ"/>
        </w:rPr>
        <w:t xml:space="preserve">pawnbroking, </w:t>
      </w:r>
      <w:r w:rsidR="00FC40E8">
        <w:rPr>
          <w:rFonts w:hAnsi="Times New Roman" w:cs="Times New Roman"/>
          <w:lang w:val="en-NZ"/>
        </w:rPr>
        <w:t>but, rather than Buddhism, their study examines</w:t>
      </w:r>
      <w:r w:rsidR="00250E50">
        <w:rPr>
          <w:rFonts w:hAnsi="Times New Roman" w:cs="Times New Roman"/>
          <w:lang w:val="en-NZ"/>
        </w:rPr>
        <w:t xml:space="preserve"> </w:t>
      </w:r>
      <w:r w:rsidRPr="002925AE">
        <w:rPr>
          <w:rFonts w:hAnsi="Times New Roman" w:cs="Times New Roman"/>
          <w:lang w:val="en-NZ"/>
        </w:rPr>
        <w:t xml:space="preserve">the Franciscan friars’ Christian business which “attempted to supplant Jewish credit” through the </w:t>
      </w:r>
      <w:r w:rsidRPr="002925AE">
        <w:rPr>
          <w:rFonts w:hAnsi="Times New Roman" w:cs="Times New Roman"/>
          <w:i/>
          <w:iCs/>
          <w:lang w:val="en-NZ"/>
        </w:rPr>
        <w:t>Monti de Pietà</w:t>
      </w:r>
      <w:r w:rsidRPr="002925AE">
        <w:rPr>
          <w:rFonts w:hAnsi="Times New Roman" w:cs="Times New Roman"/>
          <w:lang w:val="en-NZ"/>
        </w:rPr>
        <w:t>. Due to a sensitivity to economic ethics</w:t>
      </w:r>
      <w:r w:rsidR="00FC40E8">
        <w:rPr>
          <w:rFonts w:hAnsi="Times New Roman" w:cs="Times New Roman"/>
          <w:lang w:val="en-NZ"/>
        </w:rPr>
        <w:t xml:space="preserve"> </w:t>
      </w:r>
      <w:r w:rsidR="00FC40E8" w:rsidRPr="002925AE">
        <w:rPr>
          <w:rFonts w:hAnsi="Times New Roman" w:cs="Times New Roman"/>
          <w:lang w:val="en-NZ"/>
        </w:rPr>
        <w:t>(</w:t>
      </w:r>
      <w:r w:rsidR="00FC40E8">
        <w:rPr>
          <w:rFonts w:hAnsi="Times New Roman" w:cs="Times New Roman"/>
          <w:lang w:val="en-NZ"/>
        </w:rPr>
        <w:t>and previous</w:t>
      </w:r>
      <w:r w:rsidR="00FC40E8" w:rsidRPr="002925AE">
        <w:rPr>
          <w:rFonts w:hAnsi="Times New Roman" w:cs="Times New Roman"/>
          <w:lang w:val="en-NZ"/>
        </w:rPr>
        <w:t xml:space="preserve"> outlaw</w:t>
      </w:r>
      <w:r w:rsidR="00FC40E8">
        <w:rPr>
          <w:rFonts w:hAnsi="Times New Roman" w:cs="Times New Roman"/>
          <w:lang w:val="en-NZ"/>
        </w:rPr>
        <w:t>ing of</w:t>
      </w:r>
      <w:r w:rsidR="00FC40E8" w:rsidRPr="002925AE">
        <w:rPr>
          <w:rFonts w:hAnsi="Times New Roman" w:cs="Times New Roman"/>
          <w:lang w:val="en-NZ"/>
        </w:rPr>
        <w:t xml:space="preserve"> interest </w:t>
      </w:r>
      <w:r w:rsidR="00FC40E8">
        <w:rPr>
          <w:rFonts w:hAnsi="Times New Roman" w:cs="Times New Roman"/>
          <w:lang w:val="en-NZ"/>
        </w:rPr>
        <w:t>charges</w:t>
      </w:r>
      <w:r w:rsidR="00FC40E8" w:rsidRPr="002925AE">
        <w:rPr>
          <w:rFonts w:hAnsi="Times New Roman" w:cs="Times New Roman"/>
          <w:lang w:val="en-NZ"/>
        </w:rPr>
        <w:t>)</w:t>
      </w:r>
      <w:r w:rsidRPr="002925AE">
        <w:rPr>
          <w:rFonts w:hAnsi="Times New Roman" w:cs="Times New Roman"/>
          <w:lang w:val="en-NZ"/>
        </w:rPr>
        <w:t xml:space="preserve">, these friars </w:t>
      </w:r>
      <w:r w:rsidR="00FC40E8">
        <w:rPr>
          <w:rFonts w:hAnsi="Times New Roman" w:cs="Times New Roman"/>
          <w:lang w:val="en-NZ"/>
        </w:rPr>
        <w:t xml:space="preserve">negotiated </w:t>
      </w:r>
      <w:r w:rsidRPr="002925AE">
        <w:rPr>
          <w:rFonts w:hAnsi="Times New Roman" w:cs="Times New Roman"/>
          <w:lang w:val="en-NZ"/>
        </w:rPr>
        <w:t xml:space="preserve">the Church’s usury laws in order to </w:t>
      </w:r>
      <w:r w:rsidR="00B729A6">
        <w:rPr>
          <w:rFonts w:hAnsi="Times New Roman" w:cs="Times New Roman"/>
          <w:lang w:val="en-NZ"/>
        </w:rPr>
        <w:t>reduce the cost of consumer credit and improve the profitability of silk and hemp</w:t>
      </w:r>
      <w:r w:rsidRPr="002925AE">
        <w:rPr>
          <w:rFonts w:hAnsi="Times New Roman" w:cs="Times New Roman"/>
          <w:lang w:val="en-NZ"/>
        </w:rPr>
        <w:t xml:space="preserve"> traders</w:t>
      </w:r>
      <w:r w:rsidR="00B729A6">
        <w:rPr>
          <w:rFonts w:hAnsi="Times New Roman" w:cs="Times New Roman"/>
          <w:lang w:val="en-NZ"/>
        </w:rPr>
        <w:t>. They also lent funds to local authorities, supporting a number of important civic entities with finance and administration.</w:t>
      </w:r>
      <w:r w:rsidRPr="002925AE">
        <w:rPr>
          <w:rFonts w:hAnsi="Times New Roman" w:cs="Times New Roman"/>
          <w:lang w:val="en-NZ"/>
        </w:rPr>
        <w:t xml:space="preserve"> Thus, the use of double-entry bookkeeping and controls to ensure the </w:t>
      </w:r>
      <w:r w:rsidRPr="002925AE">
        <w:rPr>
          <w:rFonts w:hAnsi="Times New Roman" w:cs="Times New Roman"/>
          <w:i/>
          <w:iCs/>
          <w:lang w:val="en-NZ"/>
        </w:rPr>
        <w:t>Monti’s</w:t>
      </w:r>
      <w:r w:rsidRPr="002925AE">
        <w:rPr>
          <w:rFonts w:hAnsi="Times New Roman" w:cs="Times New Roman"/>
          <w:lang w:val="en-NZ"/>
        </w:rPr>
        <w:t xml:space="preserve"> financial sustainability, also helped to assure the church (and others) “that they were conducting their business affairs </w:t>
      </w:r>
      <w:r w:rsidRPr="0099646E">
        <w:rPr>
          <w:rFonts w:hAnsi="Times New Roman" w:cs="Times New Roman"/>
          <w:lang w:val="en-NZ"/>
        </w:rPr>
        <w:t>justly and avoiding sinful behaviour” (Orelli et al., 2013: 289).</w:t>
      </w:r>
    </w:p>
    <w:p w:rsidR="00B96A9D" w:rsidRDefault="00B96A9D" w:rsidP="007D3040">
      <w:pPr>
        <w:spacing w:after="120" w:line="360" w:lineRule="auto"/>
        <w:ind w:firstLine="720"/>
        <w:rPr>
          <w:rFonts w:hAnsi="Times New Roman" w:cs="Times New Roman"/>
          <w:lang w:val="en-NZ"/>
        </w:rPr>
      </w:pPr>
      <w:r w:rsidRPr="0099646E">
        <w:rPr>
          <w:rFonts w:hAnsi="Times New Roman" w:cs="Times New Roman"/>
          <w:lang w:val="en-NZ"/>
        </w:rPr>
        <w:t xml:space="preserve">The acculturation of the Jewish diaspora through funding and centralisation is the focus of Mandel’s (2002) </w:t>
      </w:r>
      <w:r w:rsidR="00FC40E8">
        <w:rPr>
          <w:rFonts w:hAnsi="Times New Roman" w:cs="Times New Roman"/>
          <w:lang w:val="en-NZ"/>
        </w:rPr>
        <w:t>scrutiny</w:t>
      </w:r>
      <w:r w:rsidRPr="0099646E">
        <w:rPr>
          <w:rFonts w:hAnsi="Times New Roman" w:cs="Times New Roman"/>
          <w:lang w:val="en-NZ"/>
        </w:rPr>
        <w:t xml:space="preserve"> of the </w:t>
      </w:r>
      <w:r w:rsidR="00733F53">
        <w:rPr>
          <w:rFonts w:hAnsi="Times New Roman" w:cs="Times New Roman"/>
          <w:lang w:val="en-NZ"/>
        </w:rPr>
        <w:t xml:space="preserve">US-based </w:t>
      </w:r>
      <w:r w:rsidRPr="0099646E">
        <w:rPr>
          <w:rFonts w:hAnsi="Times New Roman" w:cs="Times New Roman"/>
          <w:lang w:val="en-NZ"/>
        </w:rPr>
        <w:t>American Joint Distribution Committee (AJDC). While it was originally formed in 1</w:t>
      </w:r>
      <w:r w:rsidR="0099646E">
        <w:rPr>
          <w:rFonts w:hAnsi="Times New Roman" w:cs="Times New Roman"/>
          <w:lang w:val="en-NZ"/>
        </w:rPr>
        <w:t>9</w:t>
      </w:r>
      <w:r w:rsidRPr="0099646E">
        <w:rPr>
          <w:rFonts w:hAnsi="Times New Roman" w:cs="Times New Roman"/>
          <w:lang w:val="en-NZ"/>
        </w:rPr>
        <w:t>14 to assist Palestinian Jews affected by famine, from W</w:t>
      </w:r>
      <w:r w:rsidR="00566B50">
        <w:rPr>
          <w:rFonts w:hAnsi="Times New Roman" w:cs="Times New Roman"/>
          <w:lang w:val="en-NZ"/>
        </w:rPr>
        <w:t xml:space="preserve">orld </w:t>
      </w:r>
      <w:r w:rsidRPr="0099646E">
        <w:rPr>
          <w:rFonts w:hAnsi="Times New Roman" w:cs="Times New Roman"/>
          <w:lang w:val="en-NZ"/>
        </w:rPr>
        <w:t>W</w:t>
      </w:r>
      <w:r w:rsidR="00566B50">
        <w:rPr>
          <w:rFonts w:hAnsi="Times New Roman" w:cs="Times New Roman"/>
          <w:lang w:val="en-NZ"/>
        </w:rPr>
        <w:t>ar Two</w:t>
      </w:r>
      <w:r w:rsidRPr="0099646E">
        <w:rPr>
          <w:rFonts w:hAnsi="Times New Roman" w:cs="Times New Roman"/>
          <w:lang w:val="en-NZ"/>
        </w:rPr>
        <w:t xml:space="preserve"> onwards, the AJDC provided financial assistance for social services for Jews throughout Europe. </w:t>
      </w:r>
      <w:r w:rsidR="0099646E">
        <w:rPr>
          <w:rFonts w:hAnsi="Times New Roman" w:cs="Times New Roman"/>
          <w:lang w:val="en-NZ"/>
        </w:rPr>
        <w:t xml:space="preserve">It drew on </w:t>
      </w:r>
      <w:r w:rsidR="00E61656">
        <w:rPr>
          <w:rFonts w:hAnsi="Times New Roman" w:cs="Times New Roman"/>
          <w:lang w:val="en-NZ"/>
        </w:rPr>
        <w:t xml:space="preserve">early </w:t>
      </w:r>
      <w:r w:rsidR="00FC40E8">
        <w:rPr>
          <w:rFonts w:hAnsi="Times New Roman" w:cs="Times New Roman"/>
          <w:lang w:val="en-NZ"/>
        </w:rPr>
        <w:t xml:space="preserve">(US) </w:t>
      </w:r>
      <w:r w:rsidR="0099646E">
        <w:rPr>
          <w:rFonts w:hAnsi="Times New Roman" w:cs="Times New Roman"/>
          <w:lang w:val="en-NZ"/>
        </w:rPr>
        <w:t xml:space="preserve">American Jewish philanthropy principles </w:t>
      </w:r>
      <w:r w:rsidR="00477E07">
        <w:rPr>
          <w:rFonts w:hAnsi="Times New Roman" w:cs="Times New Roman"/>
          <w:lang w:val="en-NZ"/>
        </w:rPr>
        <w:t>seeking</w:t>
      </w:r>
      <w:r w:rsidR="0099646E">
        <w:rPr>
          <w:rFonts w:hAnsi="Times New Roman" w:cs="Times New Roman"/>
          <w:lang w:val="en-NZ"/>
        </w:rPr>
        <w:t xml:space="preserve"> to support independence, but developed as a way to unite and acculturate new migrants to the American Jewish community. </w:t>
      </w:r>
      <w:r w:rsidR="00E61656">
        <w:rPr>
          <w:rFonts w:hAnsi="Times New Roman" w:cs="Times New Roman"/>
          <w:lang w:val="en-NZ"/>
        </w:rPr>
        <w:t xml:space="preserve">Through centralised fundraising, allowing autonomy between groups but encouraging cooperation rather than sectarianism, Jewish charities built ‘communal solidarity’ (Mandel, 2002). </w:t>
      </w:r>
      <w:r w:rsidR="00566B50">
        <w:rPr>
          <w:rFonts w:hAnsi="Times New Roman" w:cs="Times New Roman"/>
          <w:lang w:val="en-NZ"/>
        </w:rPr>
        <w:t>Through</w:t>
      </w:r>
      <w:r w:rsidR="00E61656">
        <w:rPr>
          <w:rFonts w:hAnsi="Times New Roman" w:cs="Times New Roman"/>
          <w:lang w:val="en-NZ"/>
        </w:rPr>
        <w:t xml:space="preserve"> this tactic</w:t>
      </w:r>
      <w:r w:rsidRPr="0099646E">
        <w:rPr>
          <w:rFonts w:hAnsi="Times New Roman" w:cs="Times New Roman"/>
          <w:lang w:val="en-NZ"/>
        </w:rPr>
        <w:t xml:space="preserve">, </w:t>
      </w:r>
      <w:r w:rsidR="00FC40E8">
        <w:rPr>
          <w:rFonts w:hAnsi="Times New Roman" w:cs="Times New Roman"/>
          <w:lang w:val="en-NZ"/>
        </w:rPr>
        <w:t>states</w:t>
      </w:r>
      <w:r w:rsidRPr="0099646E">
        <w:rPr>
          <w:rFonts w:hAnsi="Times New Roman" w:cs="Times New Roman"/>
          <w:lang w:val="en-NZ"/>
        </w:rPr>
        <w:t xml:space="preserve"> Mandel (2002: 54), rather than merely providing money for the agencies, </w:t>
      </w:r>
      <w:r w:rsidR="00E61656">
        <w:rPr>
          <w:rFonts w:hAnsi="Times New Roman" w:cs="Times New Roman"/>
          <w:lang w:val="en-NZ"/>
        </w:rPr>
        <w:t xml:space="preserve">the AJDC’s </w:t>
      </w:r>
      <w:r w:rsidRPr="0099646E">
        <w:rPr>
          <w:rFonts w:hAnsi="Times New Roman" w:cs="Times New Roman"/>
          <w:lang w:val="en-NZ"/>
        </w:rPr>
        <w:t xml:space="preserve">“officials used their resources to influence and reshape French Jewry according to their own understandings of communal life”. </w:t>
      </w:r>
      <w:r w:rsidR="00E61656">
        <w:rPr>
          <w:rFonts w:hAnsi="Times New Roman" w:cs="Times New Roman"/>
          <w:lang w:val="en-NZ"/>
        </w:rPr>
        <w:t>Although these tactics met with some resentment, dependence on the funds offered had a “lasting and transformative impact” on the strength of the Jewish faith in France</w:t>
      </w:r>
      <w:r w:rsidR="00FC40E8">
        <w:rPr>
          <w:rFonts w:hAnsi="Times New Roman" w:cs="Times New Roman"/>
          <w:lang w:val="en-NZ"/>
        </w:rPr>
        <w:t>, similar</w:t>
      </w:r>
      <w:r w:rsidR="00566B50">
        <w:rPr>
          <w:rFonts w:hAnsi="Times New Roman" w:cs="Times New Roman"/>
          <w:lang w:val="en-NZ"/>
        </w:rPr>
        <w:t xml:space="preserve"> to </w:t>
      </w:r>
      <w:r w:rsidR="00477E07">
        <w:rPr>
          <w:rFonts w:hAnsi="Times New Roman" w:cs="Times New Roman"/>
          <w:lang w:val="en-NZ"/>
        </w:rPr>
        <w:t>the impact of</w:t>
      </w:r>
      <w:r w:rsidR="00E61656">
        <w:rPr>
          <w:rFonts w:hAnsi="Times New Roman" w:cs="Times New Roman"/>
          <w:lang w:val="en-NZ"/>
        </w:rPr>
        <w:t xml:space="preserve"> Jewish philanthropy </w:t>
      </w:r>
      <w:r w:rsidR="00477E07">
        <w:rPr>
          <w:rFonts w:hAnsi="Times New Roman" w:cs="Times New Roman"/>
          <w:lang w:val="en-NZ"/>
        </w:rPr>
        <w:t>on</w:t>
      </w:r>
      <w:r w:rsidR="00566B50">
        <w:rPr>
          <w:rFonts w:hAnsi="Times New Roman" w:cs="Times New Roman"/>
          <w:lang w:val="en-NZ"/>
        </w:rPr>
        <w:t xml:space="preserve"> the second wave of</w:t>
      </w:r>
      <w:r w:rsidR="00E61656">
        <w:rPr>
          <w:rFonts w:hAnsi="Times New Roman" w:cs="Times New Roman"/>
          <w:lang w:val="en-NZ"/>
        </w:rPr>
        <w:t xml:space="preserve"> European Jews</w:t>
      </w:r>
      <w:r w:rsidR="00477E07">
        <w:rPr>
          <w:rFonts w:hAnsi="Times New Roman" w:cs="Times New Roman"/>
          <w:lang w:val="en-NZ"/>
        </w:rPr>
        <w:t xml:space="preserve"> </w:t>
      </w:r>
      <w:r w:rsidR="00E61656">
        <w:rPr>
          <w:rFonts w:hAnsi="Times New Roman" w:cs="Times New Roman"/>
          <w:lang w:val="en-NZ"/>
        </w:rPr>
        <w:t>migratin</w:t>
      </w:r>
      <w:r w:rsidR="00477E07">
        <w:rPr>
          <w:rFonts w:hAnsi="Times New Roman" w:cs="Times New Roman"/>
          <w:lang w:val="en-NZ"/>
        </w:rPr>
        <w:t>g</w:t>
      </w:r>
      <w:r w:rsidR="00E61656">
        <w:rPr>
          <w:rFonts w:hAnsi="Times New Roman" w:cs="Times New Roman"/>
          <w:lang w:val="en-NZ"/>
        </w:rPr>
        <w:t xml:space="preserve"> to the United States.</w:t>
      </w:r>
    </w:p>
    <w:p w:rsidR="00470C06" w:rsidRPr="0099646E" w:rsidRDefault="00470C06" w:rsidP="007D3040">
      <w:pPr>
        <w:spacing w:after="120" w:line="360" w:lineRule="auto"/>
        <w:ind w:firstLine="720"/>
        <w:rPr>
          <w:rFonts w:hAnsi="Times New Roman" w:cs="Times New Roman"/>
          <w:lang w:val="en-NZ"/>
        </w:rPr>
      </w:pPr>
    </w:p>
    <w:p w:rsidR="00366B6D" w:rsidRPr="007D3040" w:rsidRDefault="000D1A57" w:rsidP="007D3040">
      <w:pPr>
        <w:spacing w:after="120" w:line="360" w:lineRule="auto"/>
        <w:rPr>
          <w:b/>
          <w:bCs/>
          <w:lang w:val="en-NZ"/>
        </w:rPr>
      </w:pPr>
      <w:r w:rsidRPr="007D3040">
        <w:rPr>
          <w:b/>
          <w:bCs/>
          <w:lang w:val="en-NZ"/>
        </w:rPr>
        <w:t>6. Individual religious perspective</w:t>
      </w:r>
    </w:p>
    <w:p w:rsidR="00366B6D" w:rsidRPr="002925AE" w:rsidRDefault="000D1A57" w:rsidP="007D3040">
      <w:pPr>
        <w:spacing w:after="120" w:line="360" w:lineRule="auto"/>
        <w:rPr>
          <w:rFonts w:hAnsi="Times New Roman" w:cs="Times New Roman"/>
          <w:lang w:val="en-NZ"/>
        </w:rPr>
      </w:pPr>
      <w:r w:rsidRPr="002925AE">
        <w:rPr>
          <w:rFonts w:hAnsi="Times New Roman" w:cs="Times New Roman"/>
          <w:lang w:val="en-NZ"/>
        </w:rPr>
        <w:t>A great majority of the studies in accounting history and religion are based on organisational data, no doubt because of the great care which has been taken over decades (and centuries) to preserve and conserve written records, including business and accounting records in these long-lived institutions</w:t>
      </w:r>
      <w:r w:rsidR="00F37792">
        <w:rPr>
          <w:rFonts w:hAnsi="Times New Roman" w:cs="Times New Roman"/>
          <w:lang w:val="en-NZ"/>
        </w:rPr>
        <w:t xml:space="preserve"> (Napier, 2009a)</w:t>
      </w:r>
      <w:r w:rsidRPr="002925AE">
        <w:rPr>
          <w:rFonts w:hAnsi="Times New Roman" w:cs="Times New Roman"/>
          <w:lang w:val="en-NZ"/>
        </w:rPr>
        <w:t xml:space="preserve">. These archives provide rich sources for accounting historians to explore the nature, role, uses and impacts of accounting in historical (organisational) contexts. </w:t>
      </w:r>
      <w:r w:rsidR="00147B67">
        <w:rPr>
          <w:rFonts w:hAnsi="Times New Roman" w:cs="Times New Roman"/>
          <w:lang w:val="en-NZ"/>
        </w:rPr>
        <w:t>However, t</w:t>
      </w:r>
      <w:r w:rsidRPr="002925AE">
        <w:rPr>
          <w:rFonts w:hAnsi="Times New Roman" w:cs="Times New Roman"/>
          <w:lang w:val="en-NZ"/>
        </w:rPr>
        <w:t xml:space="preserve">wo additional themes emerge when individual religious practices are considered. One is the manner in which individuals are coerced to, or willingly account for their actions; and the other is the manner in which personal histories can inform both individual and </w:t>
      </w:r>
      <w:r w:rsidR="00733F53">
        <w:rPr>
          <w:rFonts w:hAnsi="Times New Roman" w:cs="Times New Roman"/>
          <w:lang w:val="en-NZ"/>
        </w:rPr>
        <w:t>institutional</w:t>
      </w:r>
      <w:r w:rsidRPr="002925AE">
        <w:rPr>
          <w:rFonts w:hAnsi="Times New Roman" w:cs="Times New Roman"/>
          <w:lang w:val="en-NZ"/>
        </w:rPr>
        <w:t xml:space="preserve"> accounting practice</w:t>
      </w:r>
      <w:r w:rsidR="00FC40E8">
        <w:rPr>
          <w:rFonts w:hAnsi="Times New Roman" w:cs="Times New Roman"/>
          <w:lang w:val="en-NZ"/>
        </w:rPr>
        <w:t>, as now discussed</w:t>
      </w:r>
      <w:r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 xml:space="preserve">Theology, individuals and accounting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This first sub-section considers three theological and accounting concepts – wealth, jubilee/emancipation and ethics. </w:t>
      </w:r>
      <w:r w:rsidR="00147B67">
        <w:rPr>
          <w:rFonts w:hAnsi="Times New Roman" w:cs="Times New Roman"/>
          <w:lang w:val="en-NZ"/>
        </w:rPr>
        <w:t>I</w:t>
      </w:r>
      <w:r w:rsidRPr="002925AE">
        <w:rPr>
          <w:rFonts w:hAnsi="Times New Roman" w:cs="Times New Roman"/>
          <w:lang w:val="en-NZ"/>
        </w:rPr>
        <w:t>ndividual</w:t>
      </w:r>
      <w:r w:rsidR="00147B67">
        <w:rPr>
          <w:rFonts w:hAnsi="Times New Roman" w:cs="Times New Roman"/>
          <w:lang w:val="en-NZ"/>
        </w:rPr>
        <w:t>s</w:t>
      </w:r>
      <w:r w:rsidRPr="002925AE">
        <w:rPr>
          <w:rFonts w:hAnsi="Times New Roman" w:cs="Times New Roman"/>
          <w:lang w:val="en-NZ"/>
        </w:rPr>
        <w:t xml:space="preserve"> (rather than religious organisations) </w:t>
      </w:r>
      <w:r w:rsidR="00147B67">
        <w:rPr>
          <w:rFonts w:hAnsi="Times New Roman" w:cs="Times New Roman"/>
          <w:lang w:val="en-NZ"/>
        </w:rPr>
        <w:t>are</w:t>
      </w:r>
      <w:r w:rsidRPr="002925AE">
        <w:rPr>
          <w:rFonts w:hAnsi="Times New Roman" w:cs="Times New Roman"/>
          <w:lang w:val="en-NZ"/>
        </w:rPr>
        <w:t xml:space="preserve"> </w:t>
      </w:r>
      <w:r w:rsidR="00147B67">
        <w:rPr>
          <w:rFonts w:hAnsi="Times New Roman" w:cs="Times New Roman"/>
          <w:lang w:val="en-NZ"/>
        </w:rPr>
        <w:t>the theme of</w:t>
      </w:r>
      <w:r w:rsidRPr="002925AE">
        <w:rPr>
          <w:rFonts w:hAnsi="Times New Roman" w:cs="Times New Roman"/>
          <w:lang w:val="en-NZ"/>
        </w:rPr>
        <w:t xml:space="preserve"> Baker</w:t>
      </w:r>
      <w:r w:rsidR="00147B67">
        <w:rPr>
          <w:rFonts w:hAnsi="Times New Roman" w:cs="Times New Roman"/>
          <w:lang w:val="en-NZ"/>
        </w:rPr>
        <w:t>’s</w:t>
      </w:r>
      <w:r w:rsidRPr="002925AE">
        <w:rPr>
          <w:rFonts w:hAnsi="Times New Roman" w:cs="Times New Roman"/>
          <w:lang w:val="en-NZ"/>
        </w:rPr>
        <w:t xml:space="preserve"> (2006) analysis of biblical discourses</w:t>
      </w:r>
      <w:r w:rsidR="00147B67">
        <w:rPr>
          <w:rFonts w:hAnsi="Times New Roman" w:cs="Times New Roman"/>
          <w:lang w:val="en-NZ"/>
        </w:rPr>
        <w:t xml:space="preserve"> on </w:t>
      </w:r>
      <w:r w:rsidR="00147B67" w:rsidRPr="002925AE">
        <w:rPr>
          <w:rFonts w:hAnsi="Times New Roman" w:cs="Times New Roman"/>
          <w:lang w:val="en-NZ"/>
        </w:rPr>
        <w:t>wealth</w:t>
      </w:r>
      <w:r w:rsidRPr="002925AE">
        <w:rPr>
          <w:rFonts w:hAnsi="Times New Roman" w:cs="Times New Roman"/>
          <w:lang w:val="en-NZ"/>
        </w:rPr>
        <w:t xml:space="preserve">. He contrasts the manner in which Abraham’s wealth is lauded as a blessing from God, </w:t>
      </w:r>
      <w:r w:rsidR="00147B67">
        <w:rPr>
          <w:rFonts w:hAnsi="Times New Roman" w:cs="Times New Roman"/>
          <w:lang w:val="en-NZ"/>
        </w:rPr>
        <w:t>with</w:t>
      </w:r>
      <w:r w:rsidRPr="002925AE">
        <w:rPr>
          <w:rFonts w:hAnsi="Times New Roman" w:cs="Times New Roman"/>
          <w:lang w:val="en-NZ"/>
        </w:rPr>
        <w:t xml:space="preserve"> the discourse in the New Testament </w:t>
      </w:r>
      <w:r w:rsidR="00FC40E8">
        <w:rPr>
          <w:rFonts w:hAnsi="Times New Roman" w:cs="Times New Roman"/>
          <w:lang w:val="en-NZ"/>
        </w:rPr>
        <w:t>suggest</w:t>
      </w:r>
      <w:r w:rsidR="00147B67">
        <w:rPr>
          <w:rFonts w:hAnsi="Times New Roman" w:cs="Times New Roman"/>
          <w:lang w:val="en-NZ"/>
        </w:rPr>
        <w:t>ing</w:t>
      </w:r>
      <w:r w:rsidRPr="002925AE">
        <w:rPr>
          <w:rFonts w:hAnsi="Times New Roman" w:cs="Times New Roman"/>
          <w:lang w:val="en-NZ"/>
        </w:rPr>
        <w:t xml:space="preserve"> the love of money </w:t>
      </w:r>
      <w:r w:rsidR="00FC40E8">
        <w:rPr>
          <w:rFonts w:hAnsi="Times New Roman" w:cs="Times New Roman"/>
          <w:lang w:val="en-NZ"/>
        </w:rPr>
        <w:t>crowds out a</w:t>
      </w:r>
      <w:r w:rsidRPr="002925AE">
        <w:rPr>
          <w:rFonts w:hAnsi="Times New Roman" w:cs="Times New Roman"/>
          <w:lang w:val="en-NZ"/>
        </w:rPr>
        <w:t xml:space="preserve"> love of God (when Christ teaches that it is hard for</w:t>
      </w:r>
      <w:r w:rsidR="00FC40E8">
        <w:rPr>
          <w:rFonts w:hAnsi="Times New Roman" w:cs="Times New Roman"/>
          <w:lang w:val="en-NZ"/>
        </w:rPr>
        <w:t xml:space="preserve"> a wealthy person to enter the K</w:t>
      </w:r>
      <w:r w:rsidRPr="002925AE">
        <w:rPr>
          <w:rFonts w:hAnsi="Times New Roman" w:cs="Times New Roman"/>
          <w:lang w:val="en-NZ"/>
        </w:rPr>
        <w:t>ingdom of God). Baker (2006) posits three possible reasons for this approach</w:t>
      </w:r>
      <w:r w:rsidR="00FC40E8">
        <w:rPr>
          <w:rFonts w:hAnsi="Times New Roman" w:cs="Times New Roman"/>
          <w:lang w:val="en-NZ"/>
        </w:rPr>
        <w:t>,</w:t>
      </w:r>
      <w:r w:rsidRPr="002925AE">
        <w:rPr>
          <w:rFonts w:hAnsi="Times New Roman" w:cs="Times New Roman"/>
          <w:lang w:val="en-NZ"/>
        </w:rPr>
        <w:t xml:space="preserve"> using Foucault’s connection points between truth and power. These are: i) the need for early Christian missionaries to appeal to a poor audience; ii) the emergence of a Christian morality (</w:t>
      </w:r>
      <w:r w:rsidR="00147B67">
        <w:rPr>
          <w:rFonts w:hAnsi="Times New Roman" w:cs="Times New Roman"/>
          <w:lang w:val="en-NZ"/>
        </w:rPr>
        <w:t>Nietzsche</w:t>
      </w:r>
      <w:r w:rsidRPr="002925AE">
        <w:rPr>
          <w:rFonts w:hAnsi="Times New Roman" w:cs="Times New Roman"/>
          <w:lang w:val="en-NZ"/>
        </w:rPr>
        <w:t xml:space="preserve"> theor</w:t>
      </w:r>
      <w:r w:rsidR="00147B67">
        <w:rPr>
          <w:rFonts w:hAnsi="Times New Roman" w:cs="Times New Roman"/>
          <w:lang w:val="en-NZ"/>
        </w:rPr>
        <w:t>ises</w:t>
      </w:r>
      <w:r w:rsidRPr="002925AE">
        <w:rPr>
          <w:rFonts w:hAnsi="Times New Roman" w:cs="Times New Roman"/>
          <w:lang w:val="en-NZ"/>
        </w:rPr>
        <w:t xml:space="preserve"> that this represses an individual’s self-will); and iii) a Foucauldian theory that Christian confessional practices lead to ‘docile bodies’ that can be controlled by politically powerful entities</w:t>
      </w:r>
      <w:r w:rsidR="00733F53">
        <w:rPr>
          <w:rFonts w:hAnsi="Times New Roman" w:cs="Times New Roman"/>
          <w:lang w:val="en-NZ"/>
        </w:rPr>
        <w:t xml:space="preserve"> and individuals</w:t>
      </w:r>
      <w:r w:rsidRPr="002925AE">
        <w:rPr>
          <w:rFonts w:hAnsi="Times New Roman" w:cs="Times New Roman"/>
          <w:lang w:val="en-NZ"/>
        </w:rPr>
        <w:t>.  While all of these are plausible, his further arguments, that accounting may not have developed under such a regime without the growth of commercial enterprises, is not borne out by other studies – such as Bisaschi (2003), Urton (2009) and Liyanarachchi (2015).</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Given the separation of the wealthy from those </w:t>
      </w:r>
      <w:r w:rsidR="00E53ED3">
        <w:rPr>
          <w:rFonts w:hAnsi="Times New Roman" w:cs="Times New Roman"/>
          <w:lang w:val="en-NZ"/>
        </w:rPr>
        <w:t>who</w:t>
      </w:r>
      <w:r w:rsidRPr="002925AE">
        <w:rPr>
          <w:rFonts w:hAnsi="Times New Roman" w:cs="Times New Roman"/>
          <w:lang w:val="en-NZ"/>
        </w:rPr>
        <w:t xml:space="preserve"> are poor, Moerman (2008: 207) </w:t>
      </w:r>
      <w:r w:rsidR="00FC40E8">
        <w:rPr>
          <w:rFonts w:hAnsi="Times New Roman" w:cs="Times New Roman"/>
          <w:lang w:val="en-NZ"/>
        </w:rPr>
        <w:t>probes</w:t>
      </w:r>
      <w:r w:rsidRPr="002925AE">
        <w:rPr>
          <w:rFonts w:hAnsi="Times New Roman" w:cs="Times New Roman"/>
          <w:lang w:val="en-NZ"/>
        </w:rPr>
        <w:t xml:space="preserve"> the Old Testament concept of Jubilee – “an ancient biblical law of economic emancipation”. This enabled a Jew who had fallen on hard times to later redeem his property, or to obtain release from slavery in the 50</w:t>
      </w:r>
      <w:r w:rsidRPr="002925AE">
        <w:rPr>
          <w:rFonts w:hAnsi="Times New Roman" w:cs="Times New Roman"/>
          <w:vertAlign w:val="superscript"/>
          <w:lang w:val="en-NZ"/>
        </w:rPr>
        <w:t>th</w:t>
      </w:r>
      <w:r w:rsidRPr="002925AE">
        <w:rPr>
          <w:rFonts w:hAnsi="Times New Roman" w:cs="Times New Roman"/>
          <w:lang w:val="en-NZ"/>
        </w:rPr>
        <w:t xml:space="preserve"> year. Moerman’s (2008) hermeneutical enquiry reveals different meanings of the concept of jubilee, although it is unproven whether a jubilee was practised </w:t>
      </w:r>
      <w:r w:rsidR="006E1834">
        <w:rPr>
          <w:rFonts w:hAnsi="Times New Roman" w:cs="Times New Roman"/>
          <w:lang w:val="en-NZ"/>
        </w:rPr>
        <w:t>regularly, once only,</w:t>
      </w:r>
      <w:r w:rsidRPr="002925AE">
        <w:rPr>
          <w:rFonts w:hAnsi="Times New Roman" w:cs="Times New Roman"/>
          <w:lang w:val="en-NZ"/>
        </w:rPr>
        <w:t xml:space="preserve"> or remained an utopian analogy. She links the concept of jubilee to accounting conc</w:t>
      </w:r>
      <w:r w:rsidR="00733F53">
        <w:rPr>
          <w:rFonts w:hAnsi="Times New Roman" w:cs="Times New Roman"/>
          <w:lang w:val="en-NZ"/>
        </w:rPr>
        <w:t>epts such as value-in-use. Moe</w:t>
      </w:r>
      <w:r w:rsidR="00E53ED3">
        <w:rPr>
          <w:rFonts w:hAnsi="Times New Roman" w:cs="Times New Roman"/>
          <w:lang w:val="en-NZ"/>
        </w:rPr>
        <w:t>r</w:t>
      </w:r>
      <w:r w:rsidRPr="002925AE">
        <w:rPr>
          <w:rFonts w:hAnsi="Times New Roman" w:cs="Times New Roman"/>
          <w:lang w:val="en-NZ"/>
        </w:rPr>
        <w:t>man (2008) contrasts these biblical concepts to the modern use of the</w:t>
      </w:r>
      <w:r w:rsidR="00147B67">
        <w:rPr>
          <w:rFonts w:hAnsi="Times New Roman" w:cs="Times New Roman"/>
          <w:lang w:val="en-NZ"/>
        </w:rPr>
        <w:t xml:space="preserve"> term</w:t>
      </w:r>
      <w:r w:rsidRPr="002925AE">
        <w:rPr>
          <w:rFonts w:hAnsi="Times New Roman" w:cs="Times New Roman"/>
          <w:lang w:val="en-NZ"/>
        </w:rPr>
        <w:t xml:space="preserve"> jubilee in the ‘Jubilee 2000’ debt relief programme and the US Jubilee Act which</w:t>
      </w:r>
      <w:r w:rsidR="00147B67">
        <w:rPr>
          <w:rFonts w:hAnsi="Times New Roman" w:cs="Times New Roman"/>
          <w:lang w:val="en-NZ"/>
        </w:rPr>
        <w:t>,</w:t>
      </w:r>
      <w:r w:rsidRPr="002925AE">
        <w:rPr>
          <w:rFonts w:hAnsi="Times New Roman" w:cs="Times New Roman"/>
          <w:lang w:val="en-NZ"/>
        </w:rPr>
        <w:t xml:space="preserve"> in 2008</w:t>
      </w:r>
      <w:r w:rsidR="00147B67">
        <w:rPr>
          <w:rFonts w:hAnsi="Times New Roman" w:cs="Times New Roman"/>
          <w:lang w:val="en-NZ"/>
        </w:rPr>
        <w:t>,</w:t>
      </w:r>
      <w:r w:rsidRPr="002925AE">
        <w:rPr>
          <w:rFonts w:hAnsi="Times New Roman" w:cs="Times New Roman"/>
          <w:lang w:val="en-NZ"/>
        </w:rPr>
        <w:t xml:space="preserve"> passed through the House of Representatives, but did not pass at Senate due to a lack of time (before elections). Both of these movements sought to cancel impoverished countries’ debt. Moerman (2008) calls for more work to develop theological rationales and concepts of accountability, intergenerational equity and economy that may inform these modern movements to emancipate the poorest in our world.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Emancipation is also the concern of Gallhofer and Haslam (2004) who </w:t>
      </w:r>
      <w:r w:rsidR="00FC40E8">
        <w:rPr>
          <w:rFonts w:hAnsi="Times New Roman" w:cs="Times New Roman"/>
          <w:lang w:val="en-NZ"/>
        </w:rPr>
        <w:t>examine</w:t>
      </w:r>
      <w:r w:rsidRPr="002925AE">
        <w:rPr>
          <w:rFonts w:hAnsi="Times New Roman" w:cs="Times New Roman"/>
          <w:lang w:val="en-NZ"/>
        </w:rPr>
        <w:t xml:space="preserve"> Liberation Theology</w:t>
      </w:r>
      <w:r w:rsidR="00147B67">
        <w:rPr>
          <w:rFonts w:hAnsi="Times New Roman" w:cs="Times New Roman"/>
          <w:lang w:val="en-NZ"/>
        </w:rPr>
        <w:t>,</w:t>
      </w:r>
      <w:r w:rsidRPr="002925AE">
        <w:rPr>
          <w:rFonts w:hAnsi="Times New Roman" w:cs="Times New Roman"/>
          <w:lang w:val="en-NZ"/>
        </w:rPr>
        <w:t xml:space="preserve"> which developed in Latin America in the 1970s and 80s. Liberation Theology uses Scripture to interpret living a life of poverty, and seeks to provide insight into causative oppressive structures in the hope to overcome these. Gallhofer and Haslam (2004) argue that Liberation Theology accounting should be mobilised in the emancipatory struggle through critical accounting networks.</w:t>
      </w:r>
      <w:r w:rsidR="008E69C2" w:rsidRPr="002925AE">
        <w:rPr>
          <w:rStyle w:val="EndnoteReference"/>
          <w:rFonts w:hAnsi="Times New Roman" w:cs="Times New Roman"/>
          <w:lang w:val="en-NZ"/>
        </w:rPr>
        <w:endnoteReference w:id="20"/>
      </w:r>
      <w:r w:rsidRPr="002925AE">
        <w:rPr>
          <w:rFonts w:hAnsi="Times New Roman" w:cs="Times New Roman"/>
          <w:lang w:val="en-NZ"/>
        </w:rPr>
        <w:t xml:space="preserve"> </w:t>
      </w:r>
    </w:p>
    <w:p w:rsidR="00366B6D"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Studies of ethics and religiously-inspired personal and business values are diverse. A PhD thesis by Triyuwono (1996) </w:t>
      </w:r>
      <w:r w:rsidR="00FC40E8">
        <w:rPr>
          <w:rFonts w:hAnsi="Times New Roman" w:cs="Times New Roman"/>
          <w:lang w:val="en-NZ"/>
        </w:rPr>
        <w:t>argues that</w:t>
      </w:r>
      <w:r w:rsidRPr="002925AE">
        <w:rPr>
          <w:rFonts w:hAnsi="Times New Roman" w:cs="Times New Roman"/>
          <w:lang w:val="en-NZ"/>
        </w:rPr>
        <w:t xml:space="preserve"> personal piety to Islamic values should lead to practise of </w:t>
      </w:r>
      <w:r w:rsidRPr="002925AE">
        <w:rPr>
          <w:rFonts w:hAnsi="Times New Roman" w:cs="Times New Roman"/>
          <w:i/>
          <w:iCs/>
          <w:lang w:val="en-NZ"/>
        </w:rPr>
        <w:t>Shari-ate</w:t>
      </w:r>
      <w:r w:rsidRPr="002925AE">
        <w:rPr>
          <w:rFonts w:hAnsi="Times New Roman" w:cs="Times New Roman"/>
          <w:lang w:val="en-NZ"/>
        </w:rPr>
        <w:t xml:space="preserve"> ethics. Triyuwono (1996) </w:t>
      </w:r>
      <w:r w:rsidR="00FC40E8">
        <w:rPr>
          <w:rFonts w:hAnsi="Times New Roman" w:cs="Times New Roman"/>
          <w:lang w:val="en-NZ"/>
        </w:rPr>
        <w:t>further contends</w:t>
      </w:r>
      <w:r w:rsidRPr="002925AE">
        <w:rPr>
          <w:rFonts w:hAnsi="Times New Roman" w:cs="Times New Roman"/>
          <w:lang w:val="en-NZ"/>
        </w:rPr>
        <w:t xml:space="preserve"> that accounting should be philosophically reshaped to enable greater organisational trust and individual piety. </w:t>
      </w:r>
    </w:p>
    <w:p w:rsidR="00F15B24" w:rsidRPr="002925AE" w:rsidRDefault="00F15B24" w:rsidP="007D3040">
      <w:pPr>
        <w:spacing w:after="120" w:line="360" w:lineRule="auto"/>
        <w:ind w:firstLine="720"/>
        <w:rPr>
          <w:rFonts w:hAnsi="Times New Roman" w:cs="Times New Roman"/>
          <w:lang w:val="en-NZ"/>
        </w:rPr>
      </w:pPr>
      <w:r>
        <w:rPr>
          <w:rFonts w:hAnsi="Times New Roman" w:cs="Times New Roman"/>
          <w:lang w:val="en-NZ"/>
        </w:rPr>
        <w:t>Ornatowski (1996) studies the manner in which Buddhist ethics have changed over time and in different countries (India, China and Japan). The common principle is non-attachment to wealth</w:t>
      </w:r>
      <w:r w:rsidR="006F3820">
        <w:rPr>
          <w:rFonts w:hAnsi="Times New Roman" w:cs="Times New Roman"/>
          <w:lang w:val="en-NZ"/>
        </w:rPr>
        <w:t>, although</w:t>
      </w:r>
      <w:r>
        <w:rPr>
          <w:rFonts w:hAnsi="Times New Roman" w:cs="Times New Roman"/>
          <w:lang w:val="en-NZ"/>
        </w:rPr>
        <w:t xml:space="preserve"> lay people were encouraged in </w:t>
      </w:r>
      <w:r w:rsidR="006154C0">
        <w:rPr>
          <w:rFonts w:hAnsi="Times New Roman" w:cs="Times New Roman"/>
          <w:lang w:val="en-NZ"/>
        </w:rPr>
        <w:t xml:space="preserve">diligent and honest </w:t>
      </w:r>
      <w:r>
        <w:rPr>
          <w:rFonts w:hAnsi="Times New Roman" w:cs="Times New Roman"/>
          <w:lang w:val="en-NZ"/>
        </w:rPr>
        <w:t xml:space="preserve">wealth </w:t>
      </w:r>
      <w:r w:rsidR="006154C0">
        <w:rPr>
          <w:rFonts w:hAnsi="Times New Roman" w:cs="Times New Roman"/>
          <w:lang w:val="en-NZ"/>
        </w:rPr>
        <w:t>acquisition</w:t>
      </w:r>
      <w:r>
        <w:rPr>
          <w:rFonts w:hAnsi="Times New Roman" w:cs="Times New Roman"/>
          <w:lang w:val="en-NZ"/>
        </w:rPr>
        <w:t xml:space="preserve">, and to maximise donations to the </w:t>
      </w:r>
      <w:r w:rsidRPr="006154C0">
        <w:rPr>
          <w:rFonts w:hAnsi="Times New Roman" w:cs="Times New Roman"/>
          <w:i/>
          <w:lang w:val="en-NZ"/>
        </w:rPr>
        <w:t>sangha</w:t>
      </w:r>
      <w:r>
        <w:rPr>
          <w:rFonts w:hAnsi="Times New Roman" w:cs="Times New Roman"/>
          <w:lang w:val="en-NZ"/>
        </w:rPr>
        <w:t xml:space="preserve"> (the Buddhist monastic order) </w:t>
      </w:r>
      <w:r w:rsidR="00F03563">
        <w:rPr>
          <w:rFonts w:hAnsi="Times New Roman" w:cs="Times New Roman"/>
          <w:lang w:val="en-NZ"/>
        </w:rPr>
        <w:t>that</w:t>
      </w:r>
      <w:r>
        <w:rPr>
          <w:rFonts w:hAnsi="Times New Roman" w:cs="Times New Roman"/>
          <w:lang w:val="en-NZ"/>
        </w:rPr>
        <w:t xml:space="preserve"> depend</w:t>
      </w:r>
      <w:r w:rsidR="006154C0">
        <w:rPr>
          <w:rFonts w:hAnsi="Times New Roman" w:cs="Times New Roman"/>
          <w:lang w:val="en-NZ"/>
        </w:rPr>
        <w:t>ed</w:t>
      </w:r>
      <w:r>
        <w:rPr>
          <w:rFonts w:hAnsi="Times New Roman" w:cs="Times New Roman"/>
          <w:lang w:val="en-NZ"/>
        </w:rPr>
        <w:t xml:space="preserve"> on the</w:t>
      </w:r>
      <w:r w:rsidR="00F03563">
        <w:rPr>
          <w:rFonts w:hAnsi="Times New Roman" w:cs="Times New Roman"/>
          <w:lang w:val="en-NZ"/>
        </w:rPr>
        <w:t>m</w:t>
      </w:r>
      <w:r>
        <w:rPr>
          <w:rFonts w:hAnsi="Times New Roman" w:cs="Times New Roman"/>
          <w:lang w:val="en-NZ"/>
        </w:rPr>
        <w:t>. Meritorious giving</w:t>
      </w:r>
      <w:r w:rsidR="006154C0">
        <w:rPr>
          <w:rFonts w:hAnsi="Times New Roman" w:cs="Times New Roman"/>
          <w:lang w:val="en-NZ"/>
        </w:rPr>
        <w:t>, as</w:t>
      </w:r>
      <w:r>
        <w:rPr>
          <w:rFonts w:hAnsi="Times New Roman" w:cs="Times New Roman"/>
          <w:lang w:val="en-NZ"/>
        </w:rPr>
        <w:t xml:space="preserve"> part of the </w:t>
      </w:r>
      <w:r w:rsidR="00147B67">
        <w:rPr>
          <w:rFonts w:hAnsi="Times New Roman" w:cs="Times New Roman"/>
          <w:lang w:val="en-NZ"/>
        </w:rPr>
        <w:t>path</w:t>
      </w:r>
      <w:r>
        <w:rPr>
          <w:rFonts w:hAnsi="Times New Roman" w:cs="Times New Roman"/>
          <w:lang w:val="en-NZ"/>
        </w:rPr>
        <w:t xml:space="preserve"> to salvation, result</w:t>
      </w:r>
      <w:r w:rsidR="006154C0">
        <w:rPr>
          <w:rFonts w:hAnsi="Times New Roman" w:cs="Times New Roman"/>
          <w:lang w:val="en-NZ"/>
        </w:rPr>
        <w:t>ed</w:t>
      </w:r>
      <w:r>
        <w:rPr>
          <w:rFonts w:hAnsi="Times New Roman" w:cs="Times New Roman"/>
          <w:lang w:val="en-NZ"/>
        </w:rPr>
        <w:t xml:space="preserve"> in </w:t>
      </w:r>
      <w:r w:rsidR="00147B67">
        <w:rPr>
          <w:rFonts w:hAnsi="Times New Roman" w:cs="Times New Roman"/>
          <w:lang w:val="en-NZ"/>
        </w:rPr>
        <w:t>tremendous monastic</w:t>
      </w:r>
      <w:r>
        <w:rPr>
          <w:rFonts w:hAnsi="Times New Roman" w:cs="Times New Roman"/>
          <w:lang w:val="en-NZ"/>
        </w:rPr>
        <w:t xml:space="preserve"> wealth</w:t>
      </w:r>
      <w:r w:rsidR="006154C0">
        <w:rPr>
          <w:rFonts w:hAnsi="Times New Roman" w:cs="Times New Roman"/>
          <w:lang w:val="en-NZ"/>
        </w:rPr>
        <w:t xml:space="preserve">, leading to </w:t>
      </w:r>
      <w:r w:rsidR="00147B67">
        <w:rPr>
          <w:rFonts w:hAnsi="Times New Roman" w:cs="Times New Roman"/>
          <w:lang w:val="en-NZ"/>
        </w:rPr>
        <w:t>monasteries’</w:t>
      </w:r>
      <w:r w:rsidR="006154C0">
        <w:rPr>
          <w:rFonts w:hAnsi="Times New Roman" w:cs="Times New Roman"/>
          <w:lang w:val="en-NZ"/>
        </w:rPr>
        <w:t xml:space="preserve"> growth and increased political power. Nevertheless, regulations prohibiting </w:t>
      </w:r>
      <w:r w:rsidR="00F03563">
        <w:rPr>
          <w:rFonts w:hAnsi="Times New Roman" w:cs="Times New Roman"/>
          <w:lang w:val="en-NZ"/>
        </w:rPr>
        <w:t xml:space="preserve">the </w:t>
      </w:r>
      <w:r w:rsidR="00F03563" w:rsidRPr="006154C0">
        <w:rPr>
          <w:rFonts w:hAnsi="Times New Roman" w:cs="Times New Roman"/>
          <w:i/>
          <w:lang w:val="en-NZ"/>
        </w:rPr>
        <w:t>sangha</w:t>
      </w:r>
      <w:r w:rsidR="00F03563">
        <w:rPr>
          <w:rFonts w:hAnsi="Times New Roman" w:cs="Times New Roman"/>
          <w:lang w:val="en-NZ"/>
        </w:rPr>
        <w:t xml:space="preserve"> from undertaking </w:t>
      </w:r>
      <w:r w:rsidR="006154C0">
        <w:rPr>
          <w:rFonts w:hAnsi="Times New Roman" w:cs="Times New Roman"/>
          <w:lang w:val="en-NZ"/>
        </w:rPr>
        <w:t xml:space="preserve">economic activity relaxed over time, resulting in some usurious activities (see above) and personal wealth accumulation in some monasteries. </w:t>
      </w:r>
      <w:r w:rsidR="00F03563">
        <w:rPr>
          <w:rFonts w:hAnsi="Times New Roman" w:cs="Times New Roman"/>
          <w:lang w:val="en-NZ"/>
        </w:rPr>
        <w:t>Further support derived from</w:t>
      </w:r>
      <w:r>
        <w:rPr>
          <w:rFonts w:hAnsi="Times New Roman" w:cs="Times New Roman"/>
          <w:lang w:val="en-NZ"/>
        </w:rPr>
        <w:t xml:space="preserve"> th</w:t>
      </w:r>
      <w:r w:rsidR="00F03563">
        <w:rPr>
          <w:rFonts w:hAnsi="Times New Roman" w:cs="Times New Roman"/>
          <w:lang w:val="en-NZ"/>
        </w:rPr>
        <w:t>e</w:t>
      </w:r>
      <w:r>
        <w:rPr>
          <w:rFonts w:hAnsi="Times New Roman" w:cs="Times New Roman"/>
          <w:lang w:val="en-NZ"/>
        </w:rPr>
        <w:t xml:space="preserve"> emphasis on ethical attitudes towards wealth</w:t>
      </w:r>
      <w:r w:rsidR="00F03563">
        <w:rPr>
          <w:rFonts w:hAnsi="Times New Roman" w:cs="Times New Roman"/>
          <w:lang w:val="en-NZ"/>
        </w:rPr>
        <w:t>,</w:t>
      </w:r>
      <w:r>
        <w:rPr>
          <w:rFonts w:hAnsi="Times New Roman" w:cs="Times New Roman"/>
          <w:lang w:val="en-NZ"/>
        </w:rPr>
        <w:t xml:space="preserve"> and </w:t>
      </w:r>
      <w:r w:rsidR="00F03563">
        <w:rPr>
          <w:rFonts w:hAnsi="Times New Roman" w:cs="Times New Roman"/>
          <w:lang w:val="en-NZ"/>
        </w:rPr>
        <w:t xml:space="preserve">the fact that </w:t>
      </w:r>
      <w:r>
        <w:rPr>
          <w:rFonts w:hAnsi="Times New Roman" w:cs="Times New Roman"/>
          <w:lang w:val="en-NZ"/>
        </w:rPr>
        <w:t xml:space="preserve">giving focused less on challenging wealth </w:t>
      </w:r>
      <w:r w:rsidR="006154C0">
        <w:rPr>
          <w:rFonts w:hAnsi="Times New Roman" w:cs="Times New Roman"/>
          <w:lang w:val="en-NZ"/>
        </w:rPr>
        <w:t>distribution</w:t>
      </w:r>
      <w:r>
        <w:rPr>
          <w:rFonts w:hAnsi="Times New Roman" w:cs="Times New Roman"/>
          <w:lang w:val="en-NZ"/>
        </w:rPr>
        <w:t xml:space="preserve"> and </w:t>
      </w:r>
      <w:r w:rsidR="006154C0">
        <w:rPr>
          <w:rFonts w:hAnsi="Times New Roman" w:cs="Times New Roman"/>
          <w:lang w:val="en-NZ"/>
        </w:rPr>
        <w:t>more on support of Buddhist teaching (Ornatowski, 1996).</w:t>
      </w:r>
      <w:r w:rsidR="00F03563">
        <w:rPr>
          <w:rFonts w:hAnsi="Times New Roman" w:cs="Times New Roman"/>
          <w:lang w:val="en-NZ"/>
        </w:rPr>
        <w:t xml:space="preserve"> </w:t>
      </w:r>
      <w:r w:rsidR="006154C0">
        <w:rPr>
          <w:rFonts w:hAnsi="Times New Roman" w:cs="Times New Roman"/>
          <w:lang w:val="en-NZ"/>
        </w:rPr>
        <w:t xml:space="preserve">Confucian and Shinto influences </w:t>
      </w:r>
      <w:r w:rsidR="00F03563">
        <w:rPr>
          <w:rFonts w:hAnsi="Times New Roman" w:cs="Times New Roman"/>
          <w:lang w:val="en-NZ"/>
        </w:rPr>
        <w:t>altered</w:t>
      </w:r>
      <w:r w:rsidR="006154C0">
        <w:rPr>
          <w:rFonts w:hAnsi="Times New Roman" w:cs="Times New Roman"/>
          <w:lang w:val="en-NZ"/>
        </w:rPr>
        <w:t xml:space="preserve"> Buddhis</w:t>
      </w:r>
      <w:r w:rsidR="00F03563">
        <w:rPr>
          <w:rFonts w:hAnsi="Times New Roman" w:cs="Times New Roman"/>
          <w:lang w:val="en-NZ"/>
        </w:rPr>
        <w:t>t ethics when that faith</w:t>
      </w:r>
      <w:r w:rsidR="006154C0">
        <w:rPr>
          <w:rFonts w:hAnsi="Times New Roman" w:cs="Times New Roman"/>
          <w:lang w:val="en-NZ"/>
        </w:rPr>
        <w:t xml:space="preserve"> spread to China and Japan respectively. </w:t>
      </w:r>
    </w:p>
    <w:p w:rsidR="00366B6D" w:rsidRPr="00566B50"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Other studies consider values that individuals practise in organisations. Costa and Ramus (2011) discuss the joint impact of (Roman) Catholic Social Teaching (as introduced by Pope Leo in 1891) and a Common </w:t>
      </w:r>
      <w:r w:rsidRPr="00566B50">
        <w:rPr>
          <w:rFonts w:hAnsi="Times New Roman" w:cs="Times New Roman"/>
          <w:lang w:val="en-NZ"/>
        </w:rPr>
        <w:t>Good Principle at managerial level. Also, Knouse</w:t>
      </w:r>
      <w:r w:rsidR="00E53ED3">
        <w:rPr>
          <w:rFonts w:hAnsi="Times New Roman" w:cs="Times New Roman"/>
          <w:lang w:val="en-NZ"/>
        </w:rPr>
        <w:t xml:space="preserve"> et al.</w:t>
      </w:r>
      <w:r w:rsidRPr="00566B50">
        <w:rPr>
          <w:rFonts w:hAnsi="Times New Roman" w:cs="Times New Roman"/>
          <w:lang w:val="en-NZ"/>
        </w:rPr>
        <w:t xml:space="preserve"> (2007) analyse ethics from the Industrial Revolution to the present day. They state: “codes of ethics characteristic of the early twentieth century reflect the influence of religious faith” (Knouse et al., 2007: 95), although they note the declini</w:t>
      </w:r>
      <w:r w:rsidR="00E53ED3">
        <w:rPr>
          <w:rFonts w:hAnsi="Times New Roman" w:cs="Times New Roman"/>
          <w:lang w:val="en-NZ"/>
        </w:rPr>
        <w:t xml:space="preserve">ng influence of religion which, from the 1960s, led to increasingly </w:t>
      </w:r>
      <w:r w:rsidRPr="00566B50">
        <w:rPr>
          <w:rFonts w:hAnsi="Times New Roman" w:cs="Times New Roman"/>
          <w:lang w:val="en-NZ"/>
        </w:rPr>
        <w:t>legalistic frameworks</w:t>
      </w:r>
      <w:r w:rsidR="00E53ED3">
        <w:rPr>
          <w:rFonts w:hAnsi="Times New Roman" w:cs="Times New Roman"/>
          <w:lang w:val="en-NZ"/>
        </w:rPr>
        <w:t>. Knouse et al (2007) further note that twenty-first century g</w:t>
      </w:r>
      <w:r w:rsidRPr="00566B50">
        <w:rPr>
          <w:rFonts w:hAnsi="Times New Roman" w:cs="Times New Roman"/>
          <w:lang w:val="en-NZ"/>
        </w:rPr>
        <w:t xml:space="preserve">lobalisation </w:t>
      </w:r>
      <w:r w:rsidR="00E53ED3">
        <w:rPr>
          <w:rFonts w:hAnsi="Times New Roman" w:cs="Times New Roman"/>
          <w:lang w:val="en-NZ"/>
        </w:rPr>
        <w:t xml:space="preserve">has brought an imperative to incorporate societal values into their ethical codes. </w:t>
      </w:r>
    </w:p>
    <w:p w:rsidR="00366B6D" w:rsidRPr="002925AE" w:rsidRDefault="000D1A57" w:rsidP="007D3040">
      <w:pPr>
        <w:spacing w:after="120" w:line="360" w:lineRule="auto"/>
        <w:ind w:firstLine="720"/>
        <w:rPr>
          <w:rFonts w:hAnsi="Times New Roman" w:cs="Times New Roman"/>
          <w:lang w:val="en-NZ"/>
        </w:rPr>
      </w:pPr>
      <w:r w:rsidRPr="00566B50">
        <w:rPr>
          <w:rFonts w:hAnsi="Times New Roman" w:cs="Times New Roman"/>
          <w:lang w:val="en-NZ"/>
        </w:rPr>
        <w:t xml:space="preserve">A further </w:t>
      </w:r>
      <w:r w:rsidR="00EB6AF7">
        <w:rPr>
          <w:rFonts w:hAnsi="Times New Roman" w:cs="Times New Roman"/>
          <w:lang w:val="en-NZ"/>
        </w:rPr>
        <w:t xml:space="preserve">PhD </w:t>
      </w:r>
      <w:r w:rsidRPr="00566B50">
        <w:rPr>
          <w:rFonts w:hAnsi="Times New Roman" w:cs="Times New Roman"/>
          <w:lang w:val="en-NZ"/>
        </w:rPr>
        <w:t xml:space="preserve">accounting </w:t>
      </w:r>
      <w:r w:rsidR="00EB6AF7">
        <w:rPr>
          <w:rFonts w:hAnsi="Times New Roman" w:cs="Times New Roman"/>
          <w:lang w:val="en-NZ"/>
        </w:rPr>
        <w:t>ethics</w:t>
      </w:r>
      <w:r w:rsidRPr="00566B50">
        <w:rPr>
          <w:rFonts w:hAnsi="Times New Roman" w:cs="Times New Roman"/>
          <w:lang w:val="en-NZ"/>
        </w:rPr>
        <w:t xml:space="preserve"> is Lim</w:t>
      </w:r>
      <w:r w:rsidR="00EB6AF7">
        <w:rPr>
          <w:rFonts w:hAnsi="Times New Roman" w:cs="Times New Roman"/>
          <w:lang w:val="en-NZ"/>
        </w:rPr>
        <w:t>’s</w:t>
      </w:r>
      <w:r w:rsidRPr="00566B50">
        <w:rPr>
          <w:rFonts w:hAnsi="Times New Roman" w:cs="Times New Roman"/>
          <w:lang w:val="en-NZ"/>
        </w:rPr>
        <w:t xml:space="preserve"> (</w:t>
      </w:r>
      <w:r w:rsidRPr="002925AE">
        <w:rPr>
          <w:rFonts w:hAnsi="Times New Roman" w:cs="Times New Roman"/>
          <w:lang w:val="en-NZ"/>
        </w:rPr>
        <w:t>2014)</w:t>
      </w:r>
      <w:r w:rsidR="00EB6AF7">
        <w:rPr>
          <w:rFonts w:hAnsi="Times New Roman" w:cs="Times New Roman"/>
          <w:lang w:val="en-NZ"/>
        </w:rPr>
        <w:t>,</w:t>
      </w:r>
      <w:r w:rsidRPr="002925AE">
        <w:rPr>
          <w:rFonts w:hAnsi="Times New Roman" w:cs="Times New Roman"/>
          <w:lang w:val="en-NZ"/>
        </w:rPr>
        <w:t xml:space="preserve"> which </w:t>
      </w:r>
      <w:r w:rsidR="00EB6AF7">
        <w:rPr>
          <w:rFonts w:hAnsi="Times New Roman" w:cs="Times New Roman"/>
          <w:lang w:val="en-NZ"/>
        </w:rPr>
        <w:t>hermeneutically interrogates</w:t>
      </w:r>
      <w:r w:rsidRPr="002925AE">
        <w:rPr>
          <w:rFonts w:hAnsi="Times New Roman" w:cs="Times New Roman"/>
          <w:lang w:val="en-NZ"/>
        </w:rPr>
        <w:t xml:space="preserve"> the </w:t>
      </w:r>
      <w:r w:rsidR="00EB6AF7">
        <w:rPr>
          <w:rFonts w:hAnsi="Times New Roman" w:cs="Times New Roman"/>
          <w:lang w:val="en-NZ"/>
        </w:rPr>
        <w:t>writing</w:t>
      </w:r>
      <w:r w:rsidRPr="002925AE">
        <w:rPr>
          <w:rFonts w:hAnsi="Times New Roman" w:cs="Times New Roman"/>
          <w:lang w:val="en-NZ"/>
        </w:rPr>
        <w:t xml:space="preserve"> of the theologian Dietrich Bonhoeffer (1906-1945) and a possible extension to our conceptions of economic entity as a ‘responsible collective person’. Lim (2014: iii) notes that an alternative “conceptualisation of the entity has implications for how various stakeholders are perceived and accounted for by the entity”. </w:t>
      </w:r>
      <w:r w:rsidR="00EB6AF7">
        <w:rPr>
          <w:rFonts w:hAnsi="Times New Roman" w:cs="Times New Roman"/>
          <w:lang w:val="en-NZ"/>
        </w:rPr>
        <w:t xml:space="preserve">Her application to </w:t>
      </w:r>
      <w:r w:rsidRPr="002925AE">
        <w:rPr>
          <w:rFonts w:hAnsi="Times New Roman" w:cs="Times New Roman"/>
          <w:lang w:val="en-NZ"/>
        </w:rPr>
        <w:t xml:space="preserve">accounting for labour </w:t>
      </w:r>
      <w:r w:rsidR="00EB6AF7">
        <w:rPr>
          <w:rFonts w:hAnsi="Times New Roman" w:cs="Times New Roman"/>
          <w:lang w:val="en-NZ"/>
        </w:rPr>
        <w:t>(a</w:t>
      </w:r>
      <w:r w:rsidRPr="002925AE">
        <w:rPr>
          <w:rFonts w:hAnsi="Times New Roman" w:cs="Times New Roman"/>
          <w:lang w:val="en-NZ"/>
        </w:rPr>
        <w:t xml:space="preserve"> major stakeholder</w:t>
      </w:r>
      <w:r w:rsidR="00EB6AF7">
        <w:rPr>
          <w:rFonts w:hAnsi="Times New Roman" w:cs="Times New Roman"/>
          <w:lang w:val="en-NZ"/>
        </w:rPr>
        <w:t>) asserts this conceptualisation would dramatically alter how f</w:t>
      </w:r>
      <w:r w:rsidRPr="002925AE">
        <w:rPr>
          <w:rFonts w:hAnsi="Times New Roman" w:cs="Times New Roman"/>
          <w:lang w:val="en-NZ"/>
        </w:rPr>
        <w:t>irms account for</w:t>
      </w:r>
      <w:r w:rsidR="006E1834">
        <w:rPr>
          <w:rFonts w:hAnsi="Times New Roman" w:cs="Times New Roman"/>
          <w:lang w:val="en-NZ"/>
        </w:rPr>
        <w:t>,</w:t>
      </w:r>
      <w:r w:rsidRPr="002925AE">
        <w:rPr>
          <w:rFonts w:hAnsi="Times New Roman" w:cs="Times New Roman"/>
          <w:lang w:val="en-NZ"/>
        </w:rPr>
        <w:t xml:space="preserve"> and are accountable to</w:t>
      </w:r>
      <w:r w:rsidR="006E1834">
        <w:rPr>
          <w:rFonts w:hAnsi="Times New Roman" w:cs="Times New Roman"/>
          <w:lang w:val="en-NZ"/>
        </w:rPr>
        <w:t>,</w:t>
      </w:r>
      <w:r w:rsidRPr="002925AE">
        <w:rPr>
          <w:rFonts w:hAnsi="Times New Roman" w:cs="Times New Roman"/>
          <w:lang w:val="en-NZ"/>
        </w:rPr>
        <w:t xml:space="preserve"> their labour as human beings. Through a Statement of Redistribution of Income, the labourer would “not be negatively ascribed as an expense, but as a significant and important contributor to the entity” (Lim, 2014: iv). She argues that Self-Accountings from Labour and Accounting for Labour from Others should also be encouraged</w:t>
      </w:r>
      <w:r w:rsidR="00EB6AF7">
        <w:rPr>
          <w:rFonts w:hAnsi="Times New Roman" w:cs="Times New Roman"/>
          <w:lang w:val="en-NZ"/>
        </w:rPr>
        <w:t xml:space="preserve">, </w:t>
      </w:r>
      <w:r w:rsidRPr="002925AE">
        <w:rPr>
          <w:rFonts w:hAnsi="Times New Roman" w:cs="Times New Roman"/>
          <w:lang w:val="en-NZ"/>
        </w:rPr>
        <w:t xml:space="preserve"> develop</w:t>
      </w:r>
      <w:r w:rsidR="00EB6AF7">
        <w:rPr>
          <w:rFonts w:hAnsi="Times New Roman" w:cs="Times New Roman"/>
          <w:lang w:val="en-NZ"/>
        </w:rPr>
        <w:t>ing</w:t>
      </w:r>
      <w:r w:rsidRPr="002925AE">
        <w:rPr>
          <w:rFonts w:hAnsi="Times New Roman" w:cs="Times New Roman"/>
          <w:lang w:val="en-NZ"/>
        </w:rPr>
        <w:t xml:space="preserve"> a multi-perspectival representation of how individuals are cared for and how the entity engages with others as a responsible collective person. </w:t>
      </w:r>
    </w:p>
    <w:p w:rsidR="006F3820" w:rsidRDefault="006F3820" w:rsidP="007D3040">
      <w:pPr>
        <w:spacing w:after="120" w:line="360" w:lineRule="auto"/>
        <w:ind w:firstLine="720"/>
        <w:rPr>
          <w:rFonts w:hAnsi="Times New Roman" w:cs="Times New Roman"/>
          <w:i/>
          <w:iCs/>
          <w:lang w:val="en-NZ"/>
        </w:rPr>
      </w:pP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Accounting as a tool for personal religious practice, even in business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As noted, Urton’s (2009) study of the ancient Inca practice of cord-keeping on </w:t>
      </w:r>
      <w:r w:rsidRPr="002925AE">
        <w:rPr>
          <w:rFonts w:hAnsi="Times New Roman" w:cs="Times New Roman"/>
          <w:i/>
          <w:iCs/>
          <w:lang w:val="en-NZ"/>
        </w:rPr>
        <w:t>khipu</w:t>
      </w:r>
      <w:r w:rsidRPr="002925AE">
        <w:rPr>
          <w:rFonts w:hAnsi="Times New Roman" w:cs="Times New Roman"/>
          <w:lang w:val="en-NZ"/>
        </w:rPr>
        <w:t xml:space="preserve"> highlights an accounting tool used in Andean South America following the Spanish invasion in 1532, for individuals to account for ‘sins’ and their absolution. He contrasts the different emphases between the Spanish invaders (whose term </w:t>
      </w:r>
      <w:r w:rsidRPr="002925AE">
        <w:rPr>
          <w:rFonts w:hAnsi="Times New Roman" w:cs="Times New Roman"/>
          <w:i/>
          <w:iCs/>
          <w:lang w:val="en-NZ"/>
        </w:rPr>
        <w:t>pecado</w:t>
      </w:r>
      <w:r w:rsidRPr="002925AE">
        <w:rPr>
          <w:rFonts w:hAnsi="Times New Roman" w:cs="Times New Roman"/>
          <w:lang w:val="en-NZ"/>
        </w:rPr>
        <w:t xml:space="preserve"> focused on individual discipline) and the Inca (whose term </w:t>
      </w:r>
      <w:r w:rsidRPr="002925AE">
        <w:rPr>
          <w:rFonts w:hAnsi="Times New Roman" w:cs="Times New Roman"/>
          <w:i/>
          <w:iCs/>
          <w:lang w:val="en-NZ"/>
        </w:rPr>
        <w:t>hucha</w:t>
      </w:r>
      <w:r w:rsidRPr="002925AE">
        <w:rPr>
          <w:rFonts w:hAnsi="Times New Roman" w:cs="Times New Roman"/>
          <w:lang w:val="en-NZ"/>
        </w:rPr>
        <w:t xml:space="preserve"> focused on transgressions of reciprocal obligations between the individual and the community/ Inca and other sacred entities) (Urton, 2009). </w:t>
      </w:r>
      <w:r w:rsidR="006E1834">
        <w:rPr>
          <w:rFonts w:hAnsi="Times New Roman" w:cs="Times New Roman"/>
          <w:lang w:val="en-NZ"/>
        </w:rPr>
        <w:t>The author</w:t>
      </w:r>
      <w:r w:rsidR="00A14659">
        <w:rPr>
          <w:rFonts w:hAnsi="Times New Roman" w:cs="Times New Roman"/>
          <w:lang w:val="en-NZ"/>
        </w:rPr>
        <w:t xml:space="preserve"> theorises</w:t>
      </w:r>
      <w:r w:rsidRPr="002925AE">
        <w:rPr>
          <w:rFonts w:hAnsi="Times New Roman" w:cs="Times New Roman"/>
          <w:lang w:val="en-NZ"/>
        </w:rPr>
        <w:t xml:space="preserve"> that record-keeping or accounting “developed at least partially in relation to practices of maintaining precise records of personal transgressive actions” (Urton, 2009: 801).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This is also the key argument of Aho (2005), who </w:t>
      </w:r>
      <w:r w:rsidR="00F03563">
        <w:rPr>
          <w:rFonts w:hAnsi="Times New Roman" w:cs="Times New Roman"/>
          <w:lang w:val="en-NZ"/>
        </w:rPr>
        <w:t>states that,</w:t>
      </w:r>
      <w:r w:rsidRPr="002925AE">
        <w:rPr>
          <w:rFonts w:hAnsi="Times New Roman" w:cs="Times New Roman"/>
          <w:lang w:val="en-NZ"/>
        </w:rPr>
        <w:t xml:space="preserve"> while commerce was perceived to be a morally-compromising activity in the fourteenth century, accounting justified that activity and allowed merchants to ‘confess’ how they had made money without being avaricious in the process. Such confession cleared the merchant’s conscience and “channelled his pursuits … by compelling that same merchant to attend more and more exclusively to the flow of money through the firm” (Aho, 2005: 87). Nevertheless, while Derks (2008) agrees that merchants’ accounting is important, he notes that the Church’s influence was not as strong as Aho (2005) suggests. For example Derks (2008: 200) recounts the “systematic violation of religious, guild and municipality rules by the tradesmen relative to closing hours/days of their shops (even on Christmas Day) …”. </w:t>
      </w:r>
      <w:r w:rsidR="00EB6AF7">
        <w:rPr>
          <w:rFonts w:hAnsi="Times New Roman" w:cs="Times New Roman"/>
          <w:lang w:val="en-NZ"/>
        </w:rPr>
        <w:t>Although</w:t>
      </w:r>
      <w:r w:rsidRPr="002925AE">
        <w:rPr>
          <w:rFonts w:hAnsi="Times New Roman" w:cs="Times New Roman"/>
          <w:lang w:val="en-NZ"/>
        </w:rPr>
        <w:t xml:space="preserve"> Derks (2008) does not</w:t>
      </w:r>
      <w:r w:rsidR="00EB6AF7">
        <w:rPr>
          <w:rFonts w:hAnsi="Times New Roman" w:cs="Times New Roman"/>
          <w:lang w:val="en-NZ"/>
        </w:rPr>
        <w:t xml:space="preserve"> explicitly </w:t>
      </w:r>
      <w:r w:rsidRPr="002925AE">
        <w:rPr>
          <w:rFonts w:hAnsi="Times New Roman" w:cs="Times New Roman"/>
          <w:lang w:val="en-NZ"/>
        </w:rPr>
        <w:t>link Roman Catholic beliefs and rituals to double-entry bookkeeping, Lee (2013) confirms Aho (2005) and others’ statements that double-entry bookkeeping ‘sanctified’ business.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Twenty-first century studies of religious practice have also highlighted individuals’ accounting, including Jacobs and Walker’s (2004) </w:t>
      </w:r>
      <w:r w:rsidR="00EB6AF7">
        <w:rPr>
          <w:rFonts w:hAnsi="Times New Roman" w:cs="Times New Roman"/>
          <w:lang w:val="en-NZ"/>
        </w:rPr>
        <w:t>research into</w:t>
      </w:r>
      <w:r w:rsidRPr="002925AE">
        <w:rPr>
          <w:rFonts w:hAnsi="Times New Roman" w:cs="Times New Roman"/>
          <w:lang w:val="en-NZ"/>
        </w:rPr>
        <w:t xml:space="preserve"> the Scottish Iona Community members who account for their time and their expenditure according to a ‘Rule’ encompassing an ethos that did not separate the physical and spiritual. </w:t>
      </w:r>
      <w:r w:rsidR="00EB6AF7">
        <w:rPr>
          <w:rFonts w:hAnsi="Times New Roman" w:cs="Times New Roman"/>
          <w:lang w:val="en-NZ"/>
        </w:rPr>
        <w:t>A</w:t>
      </w:r>
      <w:r w:rsidRPr="002925AE">
        <w:rPr>
          <w:rFonts w:hAnsi="Times New Roman" w:cs="Times New Roman"/>
          <w:lang w:val="en-NZ"/>
        </w:rPr>
        <w:t>ccounting and recordkeeping enabled members to construct and recognise their identity as members of the Iona Community (Jacobs and Walker, 2004). Similarly, Cordery’s (2006) study of early New Zealand missionaries (1819-1840), found that their ‘Methodist identity’ was bound up in the need to account for donations to the donors a</w:t>
      </w:r>
      <w:r w:rsidR="00A14659">
        <w:rPr>
          <w:rFonts w:hAnsi="Times New Roman" w:cs="Times New Roman"/>
          <w:lang w:val="en-NZ"/>
        </w:rPr>
        <w:t>nd to the UK ‘Head Office’, enabling them to</w:t>
      </w:r>
      <w:r w:rsidRPr="002925AE">
        <w:rPr>
          <w:rFonts w:hAnsi="Times New Roman" w:cs="Times New Roman"/>
          <w:lang w:val="en-NZ"/>
        </w:rPr>
        <w:t xml:space="preserve"> resist acculturation away from their core stewardship values.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 small number of </w:t>
      </w:r>
      <w:r w:rsidR="00EB6AF7">
        <w:rPr>
          <w:rFonts w:hAnsi="Times New Roman" w:cs="Times New Roman"/>
          <w:lang w:val="en-NZ"/>
        </w:rPr>
        <w:t>contributions</w:t>
      </w:r>
      <w:r w:rsidRPr="002925AE">
        <w:rPr>
          <w:rFonts w:hAnsi="Times New Roman" w:cs="Times New Roman"/>
          <w:lang w:val="en-NZ"/>
        </w:rPr>
        <w:t xml:space="preserve"> seek to trace the Protestant ethic and its impact on personal business activities and accounting. Funnell and Williams (2014)</w:t>
      </w:r>
      <w:r w:rsidR="00A14659">
        <w:rPr>
          <w:rFonts w:hAnsi="Times New Roman" w:cs="Times New Roman"/>
          <w:lang w:val="en-NZ"/>
        </w:rPr>
        <w:t xml:space="preserve"> note</w:t>
      </w:r>
      <w:r w:rsidRPr="002925AE">
        <w:rPr>
          <w:rFonts w:hAnsi="Times New Roman" w:cs="Times New Roman"/>
          <w:lang w:val="en-NZ"/>
        </w:rPr>
        <w:t xml:space="preserve"> ‘a disproportionate number’ (almost half) of the major industrialists in Britain from the late eighteenth century were members of Dissenting Protestant churches (which only about five per cent of the population were members of at the time).</w:t>
      </w:r>
      <w:r w:rsidRPr="002925AE">
        <w:rPr>
          <w:rFonts w:hAnsi="Times New Roman" w:cs="Times New Roman"/>
          <w:vertAlign w:val="superscript"/>
          <w:lang w:val="en-NZ"/>
        </w:rPr>
        <w:endnoteReference w:id="21"/>
      </w:r>
      <w:r w:rsidRPr="002925AE">
        <w:rPr>
          <w:rFonts w:hAnsi="Times New Roman" w:cs="Times New Roman"/>
          <w:lang w:val="en-NZ"/>
        </w:rPr>
        <w:t xml:space="preserve"> It is likely that Protestant teachings shaped and informed these industrialists’ behaviour – including “a love of order and absolute honesty” (Funnell &amp; Williams, 2014: 364). A number of contextual factors are relevant to this period and these entrepreneurs: i) the rise of large factories and the need to manage staff and production as well as to market their business; ii) that Dissenting Protestants were excluded from Oxford and Cambridge universities and yet needed </w:t>
      </w:r>
      <w:r w:rsidR="00EB6AF7">
        <w:rPr>
          <w:rFonts w:hAnsi="Times New Roman" w:cs="Times New Roman"/>
          <w:lang w:val="en-NZ"/>
        </w:rPr>
        <w:t>access to</w:t>
      </w:r>
      <w:r w:rsidRPr="002925AE">
        <w:rPr>
          <w:rFonts w:hAnsi="Times New Roman" w:cs="Times New Roman"/>
          <w:lang w:val="en-NZ"/>
        </w:rPr>
        <w:t xml:space="preserve"> business education; and iii) the closeness of the congregations which valued (individual) honesty and hard work (Funnell &amp; Williams, 2014). The Protestant belief that the individual answered directly to God (without the medium of the priest to pronounce forgiveness) gave a sense that “an individual’s work or calling was to be regarded as part of the sacred covenant each believer had with God” (Funnell &amp; Williams, 2014: 369). Thus, hard work was lauded by their beliefs with no delineation between sacred and secular, as all work was undertaken for God’s glory. Further, the fruits of this labour was to be used “for worthwhile purposes”, such as to benefit staff and their families (Funnell &amp; Williams, 2014: 370)</w:t>
      </w:r>
      <w:r w:rsidR="00F15B24">
        <w:rPr>
          <w:rFonts w:hAnsi="Times New Roman" w:cs="Times New Roman"/>
          <w:lang w:val="en-NZ"/>
        </w:rPr>
        <w:t xml:space="preserve"> (similar to the Buddhist ethic as discussed above)</w:t>
      </w:r>
      <w:r w:rsidRPr="002925AE">
        <w:rPr>
          <w:rFonts w:hAnsi="Times New Roman" w:cs="Times New Roman"/>
          <w:lang w:val="en-NZ"/>
        </w:rPr>
        <w:t xml:space="preser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The love of order was borne out in the these Protestants’ keeping of ‘exact’ books of account, so that, not only did accounting assist in the running of these large industrial businesses (through the use of budgeting and performance reports), but was also able to evidence good stewardship of time and resources (Walker, 1998; Jacobs &amp; Walker, 2004; Cordery, 2006; Bigoni &amp; Funnell, 2015). Walker (1998) also provides an example of how this Protestant ethic was one of the major influences on the keeping of household accounts. In addition to the love of order, religious teaching engendered a fear of insolvency, debt, </w:t>
      </w:r>
      <w:r w:rsidR="00566B50">
        <w:rPr>
          <w:rFonts w:hAnsi="Times New Roman" w:cs="Times New Roman"/>
          <w:lang w:val="en-NZ"/>
        </w:rPr>
        <w:t>or, more generally, of failure.</w:t>
      </w:r>
      <w:r w:rsidR="00566B50">
        <w:rPr>
          <w:rStyle w:val="EndnoteReference"/>
          <w:rFonts w:hAnsi="Times New Roman" w:cs="Times New Roman"/>
          <w:lang w:val="en-NZ"/>
        </w:rPr>
        <w:endnoteReference w:id="22"/>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While Funnell and Williams (2014) cite Weber’s argument that Protestantism was an enabling force for capitalism, Tinker (2004) takes a more radical view in arguing that the Protestant ethic was responsible for capitalism, and that Islam is quite the opposite, although other evidence has not been offered to support this latter claim. Derks (2008: 209) notes that “‘the West’, according to some authorities, learned [double-entry bookkeeping] from the early Arabs”, suggesting otherwise. </w:t>
      </w:r>
    </w:p>
    <w:p w:rsidR="00366B6D" w:rsidRDefault="000D1A57" w:rsidP="007D3040">
      <w:pPr>
        <w:spacing w:after="120" w:line="360" w:lineRule="auto"/>
        <w:ind w:firstLine="720"/>
        <w:rPr>
          <w:rFonts w:hAnsi="Times New Roman" w:cs="Times New Roman"/>
          <w:lang w:val="en-NZ"/>
        </w:rPr>
      </w:pPr>
      <w:r w:rsidRPr="002925AE">
        <w:rPr>
          <w:rFonts w:hAnsi="Times New Roman" w:cs="Times New Roman"/>
          <w:lang w:val="en-NZ"/>
        </w:rPr>
        <w:t>Weber’s (1976) argument link</w:t>
      </w:r>
      <w:r w:rsidR="002F7570">
        <w:rPr>
          <w:rFonts w:hAnsi="Times New Roman" w:cs="Times New Roman"/>
          <w:lang w:val="en-NZ"/>
        </w:rPr>
        <w:t>ing</w:t>
      </w:r>
      <w:r w:rsidRPr="002925AE">
        <w:rPr>
          <w:rFonts w:hAnsi="Times New Roman" w:cs="Times New Roman"/>
          <w:lang w:val="en-NZ"/>
        </w:rPr>
        <w:t xml:space="preserve"> the ‘Protestant Work Ethic’ and capitalism is also contentious in the management literature (including with respect to the bias of choosing “one work ethic” over other interpretations, Smith &amp; Smith, 2011, and its link to early Christendom, Dyck, Starke, &amp; Weimer, 2012). Carruthers and Espeland (1991: 42) are more supportive of Weber’s argument, noting that “[t]he transformation of self wrought by double-entry bookkeeping was … conducive to capitalist activity”. While Aho (2005) doesn’t deny that the ability to account more precisely for transactions enabled larger organisations to form, </w:t>
      </w:r>
      <w:r w:rsidR="00CE324E">
        <w:rPr>
          <w:rFonts w:hAnsi="Times New Roman" w:cs="Times New Roman"/>
          <w:lang w:val="en-NZ"/>
        </w:rPr>
        <w:t>he stresses that</w:t>
      </w:r>
      <w:r w:rsidRPr="002925AE">
        <w:rPr>
          <w:rFonts w:hAnsi="Times New Roman" w:cs="Times New Roman"/>
          <w:lang w:val="en-NZ"/>
        </w:rPr>
        <w:t xml:space="preserve"> such an ethic was not held by Protestants alone, but that bookkeeping was seen as an ethical duty from the fourteenth century (prior to the Reformation) in some or most societies/communities.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Parker (2014) also </w:t>
      </w:r>
      <w:r w:rsidR="00CE324E">
        <w:rPr>
          <w:rFonts w:hAnsi="Times New Roman" w:cs="Times New Roman"/>
          <w:lang w:val="en-NZ"/>
        </w:rPr>
        <w:t>scrutinises</w:t>
      </w:r>
      <w:r w:rsidRPr="002925AE">
        <w:rPr>
          <w:rFonts w:hAnsi="Times New Roman" w:cs="Times New Roman"/>
          <w:lang w:val="en-NZ"/>
        </w:rPr>
        <w:t xml:space="preserve"> the actions of the Dissenting Protestant entrepreneurs and the manner in which four prominent nineteenth century businessmen’s work towards the common good showed accountability in action. He reinterprets the historical businessmen’s work from the viewpoint of the contemporary corporate and social responsibility literature, in particular the use of the ‘business case’ as a reason to advocate for socially and environmentally responsible business strategies. These individual histories show that the motivations for these leaders’ social accountability were personal and as a result of a religiously-inspired and strongly-felt moral responsibility towards their staff; thus Parker (2014) uses history to highlight a further aspect of today’s research into and practice of, corporate social responsibility.</w:t>
      </w:r>
      <w:r w:rsidR="00BE5F70">
        <w:rPr>
          <w:rStyle w:val="EndnoteReference"/>
          <w:rFonts w:hAnsi="Times New Roman" w:cs="Times New Roman"/>
          <w:lang w:val="en-NZ"/>
        </w:rPr>
        <w:endnoteReference w:id="23"/>
      </w:r>
    </w:p>
    <w:p w:rsidR="00366B6D" w:rsidRPr="002925AE" w:rsidRDefault="00366B6D" w:rsidP="007D3040">
      <w:pPr>
        <w:spacing w:after="120" w:line="360" w:lineRule="auto"/>
        <w:rPr>
          <w:rFonts w:hAnsi="Times New Roman" w:cs="Times New Roman"/>
          <w:b/>
          <w:bCs/>
          <w:lang w:val="en-NZ"/>
        </w:rPr>
      </w:pPr>
    </w:p>
    <w:p w:rsidR="00366B6D" w:rsidRPr="007D3040" w:rsidRDefault="000D1A57" w:rsidP="007D3040">
      <w:pPr>
        <w:spacing w:after="120" w:line="360" w:lineRule="auto"/>
        <w:rPr>
          <w:b/>
          <w:bCs/>
          <w:lang w:val="en-NZ"/>
        </w:rPr>
      </w:pPr>
      <w:r w:rsidRPr="007D3040">
        <w:rPr>
          <w:b/>
          <w:bCs/>
          <w:lang w:val="en-NZ"/>
        </w:rPr>
        <w:t>7. Research gaps and a research agenda</w:t>
      </w:r>
    </w:p>
    <w:p w:rsidR="00366B6D" w:rsidRPr="002925AE" w:rsidRDefault="000D1A57" w:rsidP="007D3040">
      <w:pPr>
        <w:spacing w:after="120" w:line="360" w:lineRule="auto"/>
        <w:rPr>
          <w:rFonts w:hAnsi="Times New Roman" w:cs="Times New Roman"/>
          <w:lang w:val="en-NZ"/>
        </w:rPr>
      </w:pPr>
      <w:r w:rsidRPr="002925AE">
        <w:rPr>
          <w:rFonts w:hAnsi="Times New Roman" w:cs="Times New Roman"/>
          <w:lang w:val="en-NZ"/>
        </w:rPr>
        <w:t>From an analysis of antecedents, institutional resourcing, scenarios and individual perspectives, the review now turns to highlight the context of studies, gaps in both context and methods, limitations and a future research agenda. It is important to recognise that the development of this field can be linked to influential authors and key documents. As noted by Carmegie (2014), the urging by Hopwood (1983) to study accounting in the context</w:t>
      </w:r>
      <w:r w:rsidR="006E1834">
        <w:rPr>
          <w:rFonts w:hAnsi="Times New Roman" w:cs="Times New Roman"/>
          <w:lang w:val="en-NZ"/>
        </w:rPr>
        <w:t>s</w:t>
      </w:r>
      <w:r w:rsidRPr="002925AE">
        <w:rPr>
          <w:rFonts w:hAnsi="Times New Roman" w:cs="Times New Roman"/>
          <w:lang w:val="en-NZ"/>
        </w:rPr>
        <w:t xml:space="preserve"> in which it operates led to a burgeoning of accounting research that increased understanding of the impact of context </w:t>
      </w:r>
      <w:r w:rsidR="006E1834">
        <w:rPr>
          <w:rFonts w:hAnsi="Times New Roman" w:cs="Times New Roman"/>
          <w:lang w:val="en-NZ"/>
        </w:rPr>
        <w:t>o</w:t>
      </w:r>
      <w:r w:rsidRPr="002925AE">
        <w:rPr>
          <w:rFonts w:hAnsi="Times New Roman" w:cs="Times New Roman"/>
          <w:lang w:val="en-NZ"/>
        </w:rPr>
        <w:t>n accounting, and vice versa. While this review does not include the very early contributions on accounting history and religion, it does include a number of seminal authors, namely Laughlin (1998, 1990) whose work Joannidés and Berland (2013) identify as instigating this network of authors. Joannidés and Berland (2013) also identify as important contributors: Lightbody (2000, 2002), Parker (2001, 2002, 2012, 2014)</w:t>
      </w:r>
      <w:r w:rsidR="00CE324E">
        <w:rPr>
          <w:rFonts w:hAnsi="Times New Roman" w:cs="Times New Roman"/>
          <w:lang w:val="en-NZ"/>
        </w:rPr>
        <w:t xml:space="preserve"> and</w:t>
      </w:r>
      <w:r w:rsidRPr="002925AE">
        <w:rPr>
          <w:rFonts w:hAnsi="Times New Roman" w:cs="Times New Roman"/>
          <w:lang w:val="en-NZ"/>
        </w:rPr>
        <w:t xml:space="preserve"> Irvine (2002, 2005). In addition, other scholars have developed portfolios of work in this area, opening up specific streams of research into accounting history and religion. These are: </w:t>
      </w:r>
      <w:r w:rsidR="00712449">
        <w:rPr>
          <w:rFonts w:hAnsi="Times New Roman" w:cs="Times New Roman"/>
          <w:lang w:val="en-NZ"/>
        </w:rPr>
        <w:t xml:space="preserve">Swanson and Gardner (1986; 1988), </w:t>
      </w:r>
      <w:r w:rsidRPr="002925AE">
        <w:rPr>
          <w:rFonts w:hAnsi="Times New Roman" w:cs="Times New Roman"/>
          <w:lang w:val="en-NZ"/>
        </w:rPr>
        <w:t xml:space="preserve">Walker (1998, 2006), Jacobs (2004 and Jacobs and Walker, 2004), </w:t>
      </w:r>
      <w:r w:rsidR="00712449">
        <w:rPr>
          <w:rFonts w:hAnsi="Times New Roman" w:cs="Times New Roman"/>
          <w:lang w:val="en-NZ"/>
        </w:rPr>
        <w:t>Williams (2004, 2006 and with Funnel</w:t>
      </w:r>
      <w:r w:rsidR="006E1834">
        <w:rPr>
          <w:rFonts w:hAnsi="Times New Roman" w:cs="Times New Roman"/>
          <w:lang w:val="en-NZ"/>
        </w:rPr>
        <w:t>l</w:t>
      </w:r>
      <w:r w:rsidR="00712449">
        <w:rPr>
          <w:rFonts w:hAnsi="Times New Roman" w:cs="Times New Roman"/>
          <w:lang w:val="en-NZ"/>
        </w:rPr>
        <w:t xml:space="preserve">, 2014), </w:t>
      </w:r>
      <w:r w:rsidR="00CE324E" w:rsidRPr="002925AE">
        <w:rPr>
          <w:rFonts w:hAnsi="Times New Roman" w:cs="Times New Roman"/>
          <w:lang w:val="en-NZ"/>
        </w:rPr>
        <w:t xml:space="preserve">Ezzamel (2005, 2009), </w:t>
      </w:r>
      <w:r w:rsidRPr="002925AE">
        <w:rPr>
          <w:rFonts w:hAnsi="Times New Roman" w:cs="Times New Roman"/>
          <w:lang w:val="en-NZ"/>
        </w:rPr>
        <w:t>Hardy and Ballis (2005, 2013), Baňos-Sánchez Matamoros (with Alvarez-Dardet Espejo and Lopez Manjon, 2006; and with Gutiérrez-Hidalgo, 2010), Dobie (2008a, 2008b, 2011), Napier (2009</w:t>
      </w:r>
      <w:r w:rsidR="00E15EC3">
        <w:rPr>
          <w:rFonts w:hAnsi="Times New Roman" w:cs="Times New Roman"/>
          <w:lang w:val="en-NZ"/>
        </w:rPr>
        <w:t>b</w:t>
      </w:r>
      <w:r w:rsidRPr="002925AE">
        <w:rPr>
          <w:rFonts w:hAnsi="Times New Roman" w:cs="Times New Roman"/>
          <w:lang w:val="en-NZ"/>
        </w:rPr>
        <w:t xml:space="preserve"> and Maali and Napier, 2010), Liyanarachchi (2009, 2015), Funnell (and Bigoni) (with Bigoni et al., 2013; Funnell and Williams, 2014; Bigoni and Funnell, 2015). Through the thought leadership from these </w:t>
      </w:r>
      <w:r w:rsidR="00F5568A">
        <w:rPr>
          <w:rFonts w:hAnsi="Times New Roman" w:cs="Times New Roman"/>
          <w:lang w:val="en-NZ"/>
        </w:rPr>
        <w:t>sixteen</w:t>
      </w:r>
      <w:r w:rsidRPr="002925AE">
        <w:rPr>
          <w:rFonts w:hAnsi="Times New Roman" w:cs="Times New Roman"/>
          <w:lang w:val="en-NZ"/>
        </w:rPr>
        <w:t xml:space="preserve"> contributors, this network has developed new authors and studies from </w:t>
      </w:r>
      <w:r w:rsidR="00A14659">
        <w:rPr>
          <w:rFonts w:hAnsi="Times New Roman" w:cs="Times New Roman"/>
          <w:lang w:val="en-NZ"/>
        </w:rPr>
        <w:t>11</w:t>
      </w:r>
      <w:r w:rsidR="00F5568A">
        <w:rPr>
          <w:rFonts w:hAnsi="Times New Roman" w:cs="Times New Roman"/>
          <w:lang w:val="en-NZ"/>
        </w:rPr>
        <w:t>4</w:t>
      </w:r>
      <w:r w:rsidRPr="00712449">
        <w:rPr>
          <w:rFonts w:hAnsi="Times New Roman" w:cs="Times New Roman"/>
          <w:lang w:val="en-NZ"/>
        </w:rPr>
        <w:t xml:space="preserve"> other authors in the total of </w:t>
      </w:r>
      <w:r w:rsidR="00A14659">
        <w:rPr>
          <w:rFonts w:hAnsi="Times New Roman" w:cs="Times New Roman"/>
          <w:lang w:val="en-NZ"/>
        </w:rPr>
        <w:t>90</w:t>
      </w:r>
      <w:r w:rsidRPr="002925AE">
        <w:rPr>
          <w:rFonts w:hAnsi="Times New Roman" w:cs="Times New Roman"/>
          <w:lang w:val="en-NZ"/>
        </w:rPr>
        <w:t xml:space="preserve"> contributions reviewed in this paper</w:t>
      </w:r>
      <w:r w:rsidR="00F5568A">
        <w:rPr>
          <w:rFonts w:hAnsi="Times New Roman" w:cs="Times New Roman"/>
          <w:lang w:val="en-NZ"/>
        </w:rPr>
        <w:t>.</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Special journal issues have also contributed to the development of studies on the relationship between accounting history and religion. For example, the impact of the special thematic issue in 2006 by Carmona and Ezzamel (2006) (</w:t>
      </w:r>
      <w:r w:rsidRPr="002925AE">
        <w:rPr>
          <w:rFonts w:hAnsi="Times New Roman" w:cs="Times New Roman"/>
          <w:i/>
          <w:iCs/>
          <w:lang w:val="en-NZ"/>
        </w:rPr>
        <w:t>AH</w:t>
      </w:r>
      <w:r w:rsidRPr="002925AE">
        <w:rPr>
          <w:rFonts w:hAnsi="Times New Roman" w:cs="Times New Roman"/>
          <w:lang w:val="en-NZ"/>
        </w:rPr>
        <w:t xml:space="preserve">) in accounting and religion in historical perspective, and earlier, the special </w:t>
      </w:r>
      <w:r w:rsidRPr="002925AE">
        <w:rPr>
          <w:rFonts w:hAnsi="Times New Roman" w:cs="Times New Roman"/>
          <w:i/>
          <w:iCs/>
          <w:lang w:val="en-NZ"/>
        </w:rPr>
        <w:t>AAAJ</w:t>
      </w:r>
      <w:r w:rsidRPr="002925AE">
        <w:rPr>
          <w:rFonts w:hAnsi="Times New Roman" w:cs="Times New Roman"/>
          <w:lang w:val="en-NZ"/>
        </w:rPr>
        <w:t xml:space="preserve"> issue on accounting and theology (McPhail et al., 2004) (while not specifically seeking historical studies), seemed to provide an impetus. Carnegie (2012) suggests these have a role as ‘literature starters’ or ‘mobilisers’, while Joannidés and Berland (2013) suggest they are inanimate actors in the network. Further, special issues are likely to enable interactions between established and early researchers for the benefits of the study of accounting (history) and religion (as Joannidès &amp; Berland, 2013</w:t>
      </w:r>
      <w:r w:rsidR="00FD014D">
        <w:rPr>
          <w:rFonts w:hAnsi="Times New Roman" w:cs="Times New Roman"/>
          <w:lang w:val="en-NZ"/>
        </w:rPr>
        <w:t xml:space="preserve"> argue</w:t>
      </w:r>
      <w:r w:rsidRPr="002925AE">
        <w:rPr>
          <w:rFonts w:hAnsi="Times New Roman" w:cs="Times New Roman"/>
          <w:lang w:val="en-NZ"/>
        </w:rPr>
        <w:t xml:space="preserve">). It is to be hoped that this paper, in highlighting gaps, will have a similar effect.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An obvious limitation of this paper is </w:t>
      </w:r>
      <w:r w:rsidR="0016035E">
        <w:rPr>
          <w:rFonts w:hAnsi="Times New Roman" w:cs="Times New Roman"/>
          <w:lang w:val="en-NZ"/>
        </w:rPr>
        <w:t>that it does not include contributions</w:t>
      </w:r>
      <w:r w:rsidR="00566B50">
        <w:rPr>
          <w:rFonts w:hAnsi="Times New Roman" w:cs="Times New Roman"/>
          <w:lang w:val="en-NZ"/>
        </w:rPr>
        <w:t xml:space="preserve"> published in a language other than </w:t>
      </w:r>
      <w:r w:rsidRPr="002925AE">
        <w:rPr>
          <w:rFonts w:hAnsi="Times New Roman" w:cs="Times New Roman"/>
          <w:lang w:val="en-NZ"/>
        </w:rPr>
        <w:t>English. For this, various reviews can be relied upon, but these contain little individual detail of each study. From Italy, Cinquinni, Marelli and Tenucci (2008) are among a number of authors who state that, due to the small number of published pieces in English language journals, knowledge of accounting history in non-English speaking countries is poor. Their review cites ten studies published in Italian sources specifically on churches and monasteries. These are mainly case studies and predominantly in the Benedictine order. The contributions span from the sixteenth to the twentieth century and, in the main, discuss the accounting within the organizations, although two of these articles specifically focus on accounting systems (Cinquini et al., 2008).</w:t>
      </w:r>
      <w:r w:rsidRPr="002925AE">
        <w:rPr>
          <w:rFonts w:hAnsi="Times New Roman" w:cs="Times New Roman"/>
          <w:vertAlign w:val="superscript"/>
          <w:lang w:val="en-NZ"/>
        </w:rPr>
        <w:endnoteReference w:id="24"/>
      </w:r>
      <w:r w:rsidRPr="002925AE">
        <w:rPr>
          <w:rFonts w:hAnsi="Times New Roman" w:cs="Times New Roman"/>
          <w:lang w:val="en-NZ"/>
        </w:rPr>
        <w:t xml:space="preserve"> From Portugal, de Serra Faria (2008: 370) notes that two of 24 ‘long articles’ (more than ten pages in length) in relevant journals are on “accounting in ecclesiastical bodies, religious orders or aristocratic households”, however, none of the remaining 76 ‘short articles’ </w:t>
      </w:r>
      <w:r w:rsidR="00F5568A">
        <w:rPr>
          <w:rFonts w:hAnsi="Times New Roman" w:cs="Times New Roman"/>
          <w:lang w:val="en-NZ"/>
        </w:rPr>
        <w:t xml:space="preserve">she </w:t>
      </w:r>
      <w:r w:rsidRPr="002925AE">
        <w:rPr>
          <w:rFonts w:hAnsi="Times New Roman" w:cs="Times New Roman"/>
          <w:lang w:val="en-NZ"/>
        </w:rPr>
        <w:t xml:space="preserve">examined are on this theme.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Further, Baňos-Sánchez Matamoros and Gutiérrez-Hidalgo (2010) consider contributions in two national publications (</w:t>
      </w:r>
      <w:r w:rsidRPr="002925AE">
        <w:rPr>
          <w:rFonts w:hAnsi="Times New Roman" w:cs="Times New Roman"/>
          <w:i/>
          <w:iCs/>
          <w:lang w:val="en-NZ"/>
        </w:rPr>
        <w:t>Rivista di Contabilita e Cultura Azienduli</w:t>
      </w:r>
      <w:r w:rsidRPr="002925AE">
        <w:rPr>
          <w:rFonts w:hAnsi="Times New Roman" w:cs="Times New Roman"/>
          <w:lang w:val="en-NZ"/>
        </w:rPr>
        <w:t xml:space="preserve"> in Itlay and </w:t>
      </w:r>
      <w:r w:rsidRPr="002925AE">
        <w:rPr>
          <w:rFonts w:hAnsi="Times New Roman" w:cs="Times New Roman"/>
          <w:i/>
          <w:iCs/>
          <w:lang w:val="en-NZ"/>
        </w:rPr>
        <w:t xml:space="preserve">De Computis </w:t>
      </w:r>
      <w:r w:rsidRPr="002925AE">
        <w:rPr>
          <w:rFonts w:hAnsi="Times New Roman" w:cs="Times New Roman"/>
          <w:lang w:val="en-NZ"/>
        </w:rPr>
        <w:t>in Spain) between 2000 and 2008, finding quite dissimilar patterns in relation to religious case studies. Only two per cent of Italian-published papers were in the religious sector, while 24 per cent of Spanish-published papers were in the religious sector (Baños-Sánchez Matamoros &amp; Gutiérrez-Hidalgo, 2010). No other details are provided of theoretical perspective or time period covered by these studies (although Carmona &amp; Ezzamel, 2009</w:t>
      </w:r>
      <w:r w:rsidR="00F5568A">
        <w:rPr>
          <w:rFonts w:hAnsi="Times New Roman" w:cs="Times New Roman"/>
          <w:lang w:val="en-NZ"/>
        </w:rPr>
        <w:t>,</w:t>
      </w:r>
      <w:r w:rsidRPr="002925AE">
        <w:rPr>
          <w:rFonts w:hAnsi="Times New Roman" w:cs="Times New Roman"/>
          <w:lang w:val="en-NZ"/>
        </w:rPr>
        <w:t xml:space="preserve"> provide a review of six Spanish-language and two Italian-language papers). Nevertheless, no reviews have been found of similar contributions in under-researched sites.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Of the </w:t>
      </w:r>
      <w:r w:rsidR="004D48DB">
        <w:rPr>
          <w:rFonts w:hAnsi="Times New Roman" w:cs="Times New Roman"/>
          <w:lang w:val="en-NZ"/>
        </w:rPr>
        <w:t>6</w:t>
      </w:r>
      <w:r w:rsidR="007C2330">
        <w:rPr>
          <w:rFonts w:hAnsi="Times New Roman" w:cs="Times New Roman"/>
          <w:lang w:val="en-NZ"/>
        </w:rPr>
        <w:t>4</w:t>
      </w:r>
      <w:r w:rsidRPr="002925AE">
        <w:rPr>
          <w:rFonts w:hAnsi="Times New Roman" w:cs="Times New Roman"/>
          <w:lang w:val="en-NZ"/>
        </w:rPr>
        <w:t xml:space="preserve"> organisational case studies reviewed, </w:t>
      </w:r>
      <w:r w:rsidR="00BE643A">
        <w:rPr>
          <w:rFonts w:hAnsi="Times New Roman" w:cs="Times New Roman"/>
          <w:lang w:val="en-NZ"/>
        </w:rPr>
        <w:t>2</w:t>
      </w:r>
      <w:r w:rsidR="002C19BE">
        <w:rPr>
          <w:rFonts w:hAnsi="Times New Roman" w:cs="Times New Roman"/>
          <w:lang w:val="en-NZ"/>
        </w:rPr>
        <w:t>7</w:t>
      </w:r>
      <w:r w:rsidR="00BE643A">
        <w:rPr>
          <w:rFonts w:hAnsi="Times New Roman" w:cs="Times New Roman"/>
          <w:lang w:val="en-NZ"/>
        </w:rPr>
        <w:t xml:space="preserve"> (4</w:t>
      </w:r>
      <w:r w:rsidR="002C19BE">
        <w:rPr>
          <w:rFonts w:hAnsi="Times New Roman" w:cs="Times New Roman"/>
          <w:lang w:val="en-NZ"/>
        </w:rPr>
        <w:t>2</w:t>
      </w:r>
      <w:r w:rsidR="00BE643A">
        <w:rPr>
          <w:rFonts w:hAnsi="Times New Roman" w:cs="Times New Roman"/>
          <w:lang w:val="en-NZ"/>
        </w:rPr>
        <w:t xml:space="preserve"> per cent) were from Europe and </w:t>
      </w:r>
      <w:r w:rsidRPr="002925AE">
        <w:rPr>
          <w:rFonts w:hAnsi="Times New Roman" w:cs="Times New Roman"/>
          <w:lang w:val="en-NZ"/>
        </w:rPr>
        <w:t>1</w:t>
      </w:r>
      <w:r w:rsidR="004164D6">
        <w:rPr>
          <w:rFonts w:hAnsi="Times New Roman" w:cs="Times New Roman"/>
          <w:lang w:val="en-NZ"/>
        </w:rPr>
        <w:t>8</w:t>
      </w:r>
      <w:r w:rsidRPr="002925AE">
        <w:rPr>
          <w:rFonts w:hAnsi="Times New Roman" w:cs="Times New Roman"/>
          <w:lang w:val="en-NZ"/>
        </w:rPr>
        <w:t xml:space="preserve"> (</w:t>
      </w:r>
      <w:r w:rsidR="004D48DB">
        <w:rPr>
          <w:rFonts w:hAnsi="Times New Roman" w:cs="Times New Roman"/>
          <w:lang w:val="en-NZ"/>
        </w:rPr>
        <w:t>2</w:t>
      </w:r>
      <w:r w:rsidR="00097F6E">
        <w:rPr>
          <w:rFonts w:hAnsi="Times New Roman" w:cs="Times New Roman"/>
          <w:lang w:val="en-NZ"/>
        </w:rPr>
        <w:t>8</w:t>
      </w:r>
      <w:r w:rsidRPr="002925AE">
        <w:rPr>
          <w:rFonts w:hAnsi="Times New Roman" w:cs="Times New Roman"/>
          <w:lang w:val="en-NZ"/>
        </w:rPr>
        <w:t xml:space="preserve"> per cent) are from </w:t>
      </w:r>
      <w:r w:rsidR="004164D6">
        <w:rPr>
          <w:rFonts w:hAnsi="Times New Roman" w:cs="Times New Roman"/>
          <w:lang w:val="en-NZ"/>
        </w:rPr>
        <w:t>Asia/</w:t>
      </w:r>
      <w:r w:rsidRPr="002925AE">
        <w:rPr>
          <w:rFonts w:hAnsi="Times New Roman" w:cs="Times New Roman"/>
          <w:lang w:val="en-NZ"/>
        </w:rPr>
        <w:t xml:space="preserve">Oceania (see Table 2). Studies from </w:t>
      </w:r>
      <w:r w:rsidR="00097F6E">
        <w:rPr>
          <w:rFonts w:hAnsi="Times New Roman" w:cs="Times New Roman"/>
          <w:lang w:val="en-NZ"/>
        </w:rPr>
        <w:t>Asia/</w:t>
      </w:r>
      <w:r w:rsidR="00BE643A">
        <w:rPr>
          <w:rFonts w:hAnsi="Times New Roman" w:cs="Times New Roman"/>
          <w:lang w:val="en-NZ"/>
        </w:rPr>
        <w:t>Oceania</w:t>
      </w:r>
      <w:r w:rsidRPr="002925AE">
        <w:rPr>
          <w:rFonts w:hAnsi="Times New Roman" w:cs="Times New Roman"/>
          <w:lang w:val="en-NZ"/>
        </w:rPr>
        <w:t xml:space="preserve"> evidence the greatest range of faiths. While a number of contributions are Christian cases (Lightbody, 2000, 2003; </w:t>
      </w:r>
      <w:r w:rsidR="004D48DB">
        <w:rPr>
          <w:rFonts w:hAnsi="Times New Roman" w:cs="Times New Roman"/>
          <w:lang w:val="en-NZ"/>
        </w:rPr>
        <w:t xml:space="preserve">Kluvers, 2001; </w:t>
      </w:r>
      <w:r w:rsidRPr="002925AE">
        <w:rPr>
          <w:rFonts w:hAnsi="Times New Roman" w:cs="Times New Roman"/>
          <w:lang w:val="en-NZ"/>
        </w:rPr>
        <w:t>Pa</w:t>
      </w:r>
      <w:r w:rsidR="004D48DB">
        <w:rPr>
          <w:rFonts w:hAnsi="Times New Roman" w:cs="Times New Roman"/>
          <w:lang w:val="en-NZ"/>
        </w:rPr>
        <w:t xml:space="preserve">rker, 2001, 2002; </w:t>
      </w:r>
      <w:r w:rsidR="007D4D28">
        <w:rPr>
          <w:rFonts w:hAnsi="Times New Roman" w:cs="Times New Roman"/>
          <w:lang w:val="en-NZ"/>
        </w:rPr>
        <w:t xml:space="preserve">Irvine, 2005; </w:t>
      </w:r>
      <w:r w:rsidR="004D48DB">
        <w:rPr>
          <w:rFonts w:hAnsi="Times New Roman" w:cs="Times New Roman"/>
          <w:lang w:val="en-NZ"/>
        </w:rPr>
        <w:t>Cordery, 2006</w:t>
      </w:r>
      <w:r w:rsidRPr="002925AE">
        <w:rPr>
          <w:rFonts w:hAnsi="Times New Roman" w:cs="Times New Roman"/>
          <w:lang w:val="en-NZ"/>
        </w:rPr>
        <w:t>), this region also contributes studies from Buddhist sites in Sri Lanka and Thailand (Liyanarachchi, 2009, 2015; Kuasirikun &amp; Constable, 2010)</w:t>
      </w:r>
      <w:r w:rsidR="00F912BA">
        <w:rPr>
          <w:rFonts w:hAnsi="Times New Roman" w:cs="Times New Roman"/>
          <w:lang w:val="en-NZ"/>
        </w:rPr>
        <w:t xml:space="preserve">. Further, studies on </w:t>
      </w:r>
      <w:r w:rsidR="00F912BA" w:rsidRPr="002925AE">
        <w:rPr>
          <w:rFonts w:hAnsi="Times New Roman" w:cs="Times New Roman"/>
          <w:lang w:val="en-NZ"/>
        </w:rPr>
        <w:t>the development of accounting</w:t>
      </w:r>
      <w:r w:rsidR="00F912BA">
        <w:rPr>
          <w:rFonts w:hAnsi="Times New Roman" w:cs="Times New Roman"/>
          <w:lang w:val="en-NZ"/>
        </w:rPr>
        <w:t xml:space="preserve"> in China recount </w:t>
      </w:r>
      <w:r w:rsidRPr="002925AE">
        <w:rPr>
          <w:rFonts w:hAnsi="Times New Roman" w:cs="Times New Roman"/>
          <w:lang w:val="en-NZ"/>
        </w:rPr>
        <w:t xml:space="preserve">the impact of </w:t>
      </w:r>
      <w:r w:rsidR="00F912BA" w:rsidRPr="002925AE">
        <w:rPr>
          <w:rFonts w:hAnsi="Times New Roman" w:cs="Times New Roman"/>
          <w:lang w:val="en-NZ"/>
        </w:rPr>
        <w:t>Buddhism</w:t>
      </w:r>
      <w:r w:rsidR="00F912BA">
        <w:rPr>
          <w:rFonts w:hAnsi="Times New Roman" w:cs="Times New Roman"/>
          <w:lang w:val="en-NZ"/>
        </w:rPr>
        <w:t>, as well as</w:t>
      </w:r>
      <w:r w:rsidR="00F912BA" w:rsidRPr="002925AE">
        <w:rPr>
          <w:rFonts w:hAnsi="Times New Roman" w:cs="Times New Roman"/>
          <w:lang w:val="en-NZ"/>
        </w:rPr>
        <w:t xml:space="preserve"> </w:t>
      </w:r>
      <w:r w:rsidR="00F912BA">
        <w:rPr>
          <w:rFonts w:hAnsi="Times New Roman" w:cs="Times New Roman"/>
          <w:lang w:val="en-NZ"/>
        </w:rPr>
        <w:t>extant</w:t>
      </w:r>
      <w:r w:rsidR="00F912BA" w:rsidRPr="002925AE">
        <w:rPr>
          <w:rFonts w:hAnsi="Times New Roman" w:cs="Times New Roman"/>
          <w:lang w:val="en-NZ"/>
        </w:rPr>
        <w:t xml:space="preserve"> Chinese faiths </w:t>
      </w:r>
      <w:r w:rsidR="002F7570">
        <w:rPr>
          <w:rFonts w:hAnsi="Times New Roman" w:cs="Times New Roman"/>
          <w:lang w:val="en-NZ"/>
        </w:rPr>
        <w:t>(</w:t>
      </w:r>
      <w:r w:rsidR="00F912BA">
        <w:rPr>
          <w:rFonts w:hAnsi="Times New Roman" w:cs="Times New Roman"/>
          <w:lang w:val="en-NZ"/>
        </w:rPr>
        <w:t xml:space="preserve">including </w:t>
      </w:r>
      <w:r w:rsidRPr="002925AE">
        <w:rPr>
          <w:rFonts w:hAnsi="Times New Roman" w:cs="Times New Roman"/>
          <w:lang w:val="en-NZ"/>
        </w:rPr>
        <w:t>Confucianism</w:t>
      </w:r>
      <w:r w:rsidR="002F7570">
        <w:rPr>
          <w:rFonts w:hAnsi="Times New Roman" w:cs="Times New Roman"/>
          <w:lang w:val="en-NZ"/>
        </w:rPr>
        <w:t>)</w:t>
      </w:r>
      <w:r w:rsidRPr="002925AE">
        <w:rPr>
          <w:rFonts w:hAnsi="Times New Roman" w:cs="Times New Roman"/>
          <w:lang w:val="en-NZ"/>
        </w:rPr>
        <w:t xml:space="preserve"> (Gao &amp; Handley-Schachler, 2003; Wissler, 2013</w:t>
      </w:r>
      <w:r w:rsidR="007D4D28">
        <w:rPr>
          <w:rFonts w:hAnsi="Times New Roman" w:cs="Times New Roman"/>
          <w:lang w:val="en-NZ"/>
        </w:rPr>
        <w:t>; Hong, 2014</w:t>
      </w:r>
      <w:r w:rsidRPr="002925AE">
        <w:rPr>
          <w:rFonts w:hAnsi="Times New Roman" w:cs="Times New Roman"/>
          <w:lang w:val="en-NZ"/>
        </w:rPr>
        <w:t>). Islamic banking is also considered (Abdul-Rahman &amp; Goddard, 1998; Rammal &amp; Parker, 2012)</w:t>
      </w:r>
      <w:r w:rsidR="004164D6">
        <w:rPr>
          <w:rFonts w:hAnsi="Times New Roman" w:cs="Times New Roman"/>
          <w:lang w:val="en-NZ"/>
        </w:rPr>
        <w:t xml:space="preserve"> as are Turkish</w:t>
      </w:r>
      <w:r w:rsidR="00F5568A">
        <w:rPr>
          <w:rFonts w:hAnsi="Times New Roman" w:cs="Times New Roman"/>
          <w:lang w:val="en-NZ"/>
        </w:rPr>
        <w:t xml:space="preserve"> </w:t>
      </w:r>
      <w:r w:rsidR="004164D6" w:rsidRPr="002925AE">
        <w:rPr>
          <w:rFonts w:hAnsi="Times New Roman" w:cs="Times New Roman"/>
          <w:i/>
          <w:iCs/>
          <w:lang w:val="en-NZ"/>
        </w:rPr>
        <w:t>waqf</w:t>
      </w:r>
      <w:r w:rsidR="004164D6">
        <w:rPr>
          <w:rFonts w:hAnsi="Times New Roman" w:cs="Times New Roman"/>
          <w:i/>
          <w:iCs/>
          <w:lang w:val="en-NZ"/>
        </w:rPr>
        <w:t>s</w:t>
      </w:r>
      <w:r w:rsidR="004164D6" w:rsidRPr="002925AE">
        <w:rPr>
          <w:rFonts w:hAnsi="Times New Roman" w:cs="Times New Roman"/>
          <w:lang w:val="en-NZ"/>
        </w:rPr>
        <w:t xml:space="preserve"> (Orbay, 2013; Yayla, 2011)</w:t>
      </w:r>
      <w:r w:rsidR="004164D6">
        <w:rPr>
          <w:rFonts w:hAnsi="Times New Roman" w:cs="Times New Roman"/>
          <w:lang w:val="en-NZ"/>
        </w:rPr>
        <w:t>.</w:t>
      </w:r>
      <w:r w:rsidR="004164D6" w:rsidRPr="002925AE">
        <w:rPr>
          <w:rFonts w:hAnsi="Times New Roman" w:cs="Times New Roman"/>
          <w:lang w:val="en-NZ"/>
        </w:rPr>
        <w:t xml:space="preserve"> </w:t>
      </w:r>
      <w:r w:rsidR="00F5568A">
        <w:rPr>
          <w:rFonts w:hAnsi="Times New Roman" w:cs="Times New Roman"/>
          <w:lang w:val="en-NZ"/>
        </w:rPr>
        <w:t>Further</w:t>
      </w:r>
      <w:r w:rsidRPr="002925AE">
        <w:rPr>
          <w:rFonts w:hAnsi="Times New Roman" w:cs="Times New Roman"/>
          <w:lang w:val="en-NZ"/>
        </w:rPr>
        <w:t xml:space="preserve">, Dixon and Gaffikin (2013) </w:t>
      </w:r>
      <w:r w:rsidR="00F5568A">
        <w:rPr>
          <w:rFonts w:hAnsi="Times New Roman" w:cs="Times New Roman"/>
          <w:lang w:val="en-NZ"/>
        </w:rPr>
        <w:t>evaluate</w:t>
      </w:r>
      <w:r w:rsidRPr="002925AE">
        <w:rPr>
          <w:rFonts w:hAnsi="Times New Roman" w:cs="Times New Roman"/>
          <w:lang w:val="en-NZ"/>
        </w:rPr>
        <w:t xml:space="preserve"> the impact of Christian missionaries on an indigenous Pacific people. </w:t>
      </w:r>
    </w:p>
    <w:p w:rsidR="004164D6" w:rsidRDefault="004164D6" w:rsidP="007D3040">
      <w:pPr>
        <w:spacing w:after="120" w:line="360" w:lineRule="auto"/>
        <w:ind w:firstLine="720"/>
        <w:rPr>
          <w:rFonts w:hAnsi="Times New Roman" w:cs="Times New Roman"/>
          <w:lang w:val="en-NZ"/>
        </w:rPr>
      </w:pPr>
      <w:r>
        <w:rPr>
          <w:rFonts w:hAnsi="Times New Roman" w:cs="Times New Roman"/>
          <w:lang w:val="en-NZ"/>
        </w:rPr>
        <w:t xml:space="preserve">Of the 10 </w:t>
      </w:r>
      <w:r w:rsidR="00097F6E">
        <w:rPr>
          <w:rFonts w:hAnsi="Times New Roman" w:cs="Times New Roman"/>
          <w:lang w:val="en-NZ"/>
        </w:rPr>
        <w:t xml:space="preserve">case studies from the Americas </w:t>
      </w:r>
      <w:r>
        <w:rPr>
          <w:rFonts w:hAnsi="Times New Roman" w:cs="Times New Roman"/>
          <w:lang w:val="en-NZ"/>
        </w:rPr>
        <w:t>(16 per cent), t</w:t>
      </w:r>
      <w:r w:rsidRPr="002925AE">
        <w:rPr>
          <w:rFonts w:hAnsi="Times New Roman" w:cs="Times New Roman"/>
          <w:lang w:val="en-NZ"/>
        </w:rPr>
        <w:t>he lack of accounting history and religion studies from South America is a surprise (2/6</w:t>
      </w:r>
      <w:r>
        <w:rPr>
          <w:rFonts w:hAnsi="Times New Roman" w:cs="Times New Roman"/>
          <w:lang w:val="en-NZ"/>
        </w:rPr>
        <w:t>4</w:t>
      </w:r>
      <w:r w:rsidRPr="002925AE">
        <w:rPr>
          <w:rFonts w:hAnsi="Times New Roman" w:cs="Times New Roman"/>
          <w:lang w:val="en-NZ"/>
        </w:rPr>
        <w:t xml:space="preserve"> or 3 per cent). Urton (2009) highlights a clash between Inca and Roman Catholicism; from the West Indies, Llopis et al. (2002) analyse monastic accounting. The </w:t>
      </w:r>
      <w:r>
        <w:rPr>
          <w:rFonts w:hAnsi="Times New Roman" w:cs="Times New Roman"/>
          <w:lang w:val="en-NZ"/>
        </w:rPr>
        <w:t>eight</w:t>
      </w:r>
      <w:r w:rsidRPr="002925AE">
        <w:rPr>
          <w:rFonts w:hAnsi="Times New Roman" w:cs="Times New Roman"/>
          <w:lang w:val="en-NZ"/>
        </w:rPr>
        <w:t xml:space="preserve"> (1</w:t>
      </w:r>
      <w:r>
        <w:rPr>
          <w:rFonts w:hAnsi="Times New Roman" w:cs="Times New Roman"/>
          <w:lang w:val="en-NZ"/>
        </w:rPr>
        <w:t>2.5</w:t>
      </w:r>
      <w:r w:rsidRPr="002925AE">
        <w:rPr>
          <w:rFonts w:hAnsi="Times New Roman" w:cs="Times New Roman"/>
          <w:lang w:val="en-NZ"/>
        </w:rPr>
        <w:t xml:space="preserve"> per cent) North American church and religious sect studies include those from the eighteenth (Faircloth, 1988; Swanson &amp; Gardner, 1988), nineteenth (Fuglister &amp; Bloom, 1991; Swanson &amp; Gardner, 1986) and twentieth centuries (Lennell, 1994; Rowe &amp; Giroux, 1986; Trigg &amp; Nabangi, 1995)</w:t>
      </w:r>
      <w:r>
        <w:rPr>
          <w:rFonts w:hAnsi="Times New Roman" w:cs="Times New Roman"/>
          <w:lang w:val="en-NZ"/>
        </w:rPr>
        <w:t xml:space="preserve"> as well as a Jewish one from the twentieth century (Mandel, 2002)</w:t>
      </w:r>
      <w:r w:rsidRPr="002925AE">
        <w:rPr>
          <w:rFonts w:hAnsi="Times New Roman" w:cs="Times New Roman"/>
          <w:lang w:val="en-NZ"/>
        </w:rPr>
        <w:t xml:space="preserve">. Further analysis of financial management would be interesting, as the US Christian church has suffered decline since the 1930s (Elkington, 2011) and insights to dealing with decline and constraints are needed. </w:t>
      </w:r>
    </w:p>
    <w:p w:rsidR="003A7272"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Table 2 shows </w:t>
      </w:r>
      <w:r w:rsidR="004164D6">
        <w:rPr>
          <w:rFonts w:hAnsi="Times New Roman" w:cs="Times New Roman"/>
          <w:lang w:val="en-NZ"/>
        </w:rPr>
        <w:t>9</w:t>
      </w:r>
      <w:r w:rsidR="004D48DB">
        <w:rPr>
          <w:rFonts w:hAnsi="Times New Roman" w:cs="Times New Roman"/>
          <w:lang w:val="en-NZ"/>
        </w:rPr>
        <w:t>/6</w:t>
      </w:r>
      <w:r w:rsidR="007D4D28">
        <w:rPr>
          <w:rFonts w:hAnsi="Times New Roman" w:cs="Times New Roman"/>
          <w:lang w:val="en-NZ"/>
        </w:rPr>
        <w:t>4</w:t>
      </w:r>
      <w:r w:rsidRPr="002925AE">
        <w:rPr>
          <w:rFonts w:hAnsi="Times New Roman" w:cs="Times New Roman"/>
          <w:lang w:val="en-NZ"/>
        </w:rPr>
        <w:t xml:space="preserve"> contributions (</w:t>
      </w:r>
      <w:r w:rsidR="00F5568A">
        <w:rPr>
          <w:rFonts w:hAnsi="Times New Roman" w:cs="Times New Roman"/>
          <w:lang w:val="en-NZ"/>
        </w:rPr>
        <w:t>1</w:t>
      </w:r>
      <w:r w:rsidR="004164D6">
        <w:rPr>
          <w:rFonts w:hAnsi="Times New Roman" w:cs="Times New Roman"/>
          <w:lang w:val="en-NZ"/>
        </w:rPr>
        <w:t>4</w:t>
      </w:r>
      <w:r w:rsidRPr="002925AE">
        <w:rPr>
          <w:rFonts w:hAnsi="Times New Roman" w:cs="Times New Roman"/>
          <w:lang w:val="en-NZ"/>
        </w:rPr>
        <w:t xml:space="preserve"> per cent) from Africa and the Middle East. These contributions have been mainly restricted to very early periods and/or the discussion of antecedents (Fonfeder et al., 2003; Zaid, 2004; Ezzamel, 2005, 2009; Barlev, 2006). Two contributions consider Jewish texts and data (Fonfeder et al., 2003; Barlev, 2006), two </w:t>
      </w:r>
      <w:r w:rsidR="002F7570">
        <w:rPr>
          <w:rFonts w:hAnsi="Times New Roman" w:cs="Times New Roman"/>
          <w:lang w:val="en-NZ"/>
        </w:rPr>
        <w:t xml:space="preserve">research </w:t>
      </w:r>
      <w:r w:rsidRPr="002925AE">
        <w:rPr>
          <w:rFonts w:hAnsi="Times New Roman" w:cs="Times New Roman"/>
          <w:lang w:val="en-NZ"/>
        </w:rPr>
        <w:t>Egyptian funerary temples (Ezzamel, 2005, 2009), and Zaid’s (2004) early Islamic-based paper is joined by Maali and Napier’s (2010) review of Islamic banking. Case studies of</w:t>
      </w:r>
      <w:r w:rsidR="004164D6">
        <w:rPr>
          <w:rFonts w:hAnsi="Times New Roman" w:cs="Times New Roman"/>
          <w:lang w:val="en-NZ"/>
        </w:rPr>
        <w:t xml:space="preserve"> and Egyptian </w:t>
      </w:r>
      <w:r w:rsidR="004164D6" w:rsidRPr="002925AE">
        <w:rPr>
          <w:rFonts w:hAnsi="Times New Roman" w:cs="Times New Roman"/>
          <w:i/>
          <w:iCs/>
          <w:lang w:val="en-NZ"/>
        </w:rPr>
        <w:t>waqf</w:t>
      </w:r>
      <w:r w:rsidR="004164D6">
        <w:rPr>
          <w:rFonts w:hAnsi="Times New Roman" w:cs="Times New Roman"/>
          <w:i/>
          <w:iCs/>
          <w:lang w:val="en-NZ"/>
        </w:rPr>
        <w:t>s</w:t>
      </w:r>
      <w:r w:rsidRPr="002925AE">
        <w:rPr>
          <w:rFonts w:hAnsi="Times New Roman" w:cs="Times New Roman"/>
          <w:lang w:val="en-NZ"/>
        </w:rPr>
        <w:t xml:space="preserve"> </w:t>
      </w:r>
      <w:r w:rsidR="003A7272">
        <w:rPr>
          <w:rFonts w:hAnsi="Times New Roman" w:cs="Times New Roman"/>
          <w:lang w:val="en-NZ"/>
        </w:rPr>
        <w:t>(</w:t>
      </w:r>
      <w:r w:rsidR="002C19BE">
        <w:rPr>
          <w:rFonts w:hAnsi="Times New Roman" w:cs="Times New Roman"/>
          <w:lang w:val="en-NZ"/>
        </w:rPr>
        <w:t xml:space="preserve">Melčák, </w:t>
      </w:r>
      <w:r w:rsidR="002C19BE">
        <w:rPr>
          <w:lang w:val="en-NZ"/>
        </w:rPr>
        <w:t>2010),</w:t>
      </w:r>
      <w:r w:rsidRPr="002925AE">
        <w:rPr>
          <w:rFonts w:hAnsi="Times New Roman" w:cs="Times New Roman"/>
          <w:lang w:val="en-NZ"/>
        </w:rPr>
        <w:t xml:space="preserve"> the Essene Dead Sea Scrolls (Herda et al., 2013) </w:t>
      </w:r>
      <w:r w:rsidR="002C19BE">
        <w:rPr>
          <w:rFonts w:hAnsi="Times New Roman" w:cs="Times New Roman"/>
          <w:lang w:val="en-NZ"/>
        </w:rPr>
        <w:t xml:space="preserve">and Israeli kibbutzim (Fishman and Goldschmidt, 1990), </w:t>
      </w:r>
      <w:r w:rsidRPr="002925AE">
        <w:rPr>
          <w:rFonts w:hAnsi="Times New Roman" w:cs="Times New Roman"/>
          <w:lang w:val="en-NZ"/>
        </w:rPr>
        <w:t xml:space="preserve">round out the diversity in this region where Christian-based studies are not predominant.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This review found little in the way of recent studies on indigenous peoples, their religions and accounting, and only two (from Dixon and Gaffikin, 2013, and Urton, 2009) of the clash of culture when colonisers or new migrants arrive. Nevertheless, while other reviewers (such as </w:t>
      </w:r>
      <w:r w:rsidR="006E1834" w:rsidRPr="002925AE">
        <w:rPr>
          <w:rFonts w:hAnsi="Times New Roman" w:cs="Times New Roman"/>
          <w:lang w:val="en-NZ"/>
        </w:rPr>
        <w:t>Baños-Sánchez Matam</w:t>
      </w:r>
      <w:r w:rsidR="006E1834">
        <w:rPr>
          <w:rFonts w:hAnsi="Times New Roman" w:cs="Times New Roman"/>
          <w:lang w:val="en-NZ"/>
        </w:rPr>
        <w:t>oros &amp; Gutiérrez-Hidalgo, 2010;</w:t>
      </w:r>
      <w:r w:rsidR="006E1834" w:rsidRPr="002925AE">
        <w:rPr>
          <w:rFonts w:hAnsi="Times New Roman" w:cs="Times New Roman"/>
          <w:lang w:val="en-NZ"/>
        </w:rPr>
        <w:t xml:space="preserve"> </w:t>
      </w:r>
      <w:r w:rsidRPr="002925AE">
        <w:rPr>
          <w:rFonts w:hAnsi="Times New Roman" w:cs="Times New Roman"/>
          <w:lang w:val="en-NZ"/>
        </w:rPr>
        <w:t>Bisman, 2012) have been concerned that history has focused on the nineteenth and twentieth centuries, the case studies analysed in this review are predominantly before that period. As can be seen in Table 2, six (</w:t>
      </w:r>
      <w:r w:rsidR="005C5956">
        <w:rPr>
          <w:rFonts w:hAnsi="Times New Roman" w:cs="Times New Roman"/>
          <w:lang w:val="en-NZ"/>
        </w:rPr>
        <w:t>9</w:t>
      </w:r>
      <w:r w:rsidRPr="002925AE">
        <w:rPr>
          <w:rFonts w:hAnsi="Times New Roman" w:cs="Times New Roman"/>
          <w:lang w:val="en-NZ"/>
        </w:rPr>
        <w:t xml:space="preserve"> per cent) were concerned with data from before the birth of Christ (or very early Christendom) (Fonfeder et al., 2003; Gao &amp; Handley-Schachler, 2003; Zaid, 2004; Ezzamel, 2005, 2009; Barlev, 2006), with </w:t>
      </w:r>
      <w:r w:rsidR="005C5956">
        <w:rPr>
          <w:rFonts w:hAnsi="Times New Roman" w:cs="Times New Roman"/>
          <w:lang w:val="en-NZ"/>
        </w:rPr>
        <w:t>1</w:t>
      </w:r>
      <w:r w:rsidR="00097F6E">
        <w:rPr>
          <w:rFonts w:hAnsi="Times New Roman" w:cs="Times New Roman"/>
          <w:lang w:val="en-NZ"/>
        </w:rPr>
        <w:t>4</w:t>
      </w:r>
      <w:r w:rsidRPr="002925AE">
        <w:rPr>
          <w:rFonts w:hAnsi="Times New Roman" w:cs="Times New Roman"/>
          <w:lang w:val="en-NZ"/>
        </w:rPr>
        <w:t xml:space="preserve"> (</w:t>
      </w:r>
      <w:r w:rsidR="005C5956">
        <w:rPr>
          <w:rFonts w:hAnsi="Times New Roman" w:cs="Times New Roman"/>
          <w:lang w:val="en-NZ"/>
        </w:rPr>
        <w:t>2</w:t>
      </w:r>
      <w:r w:rsidR="00097F6E">
        <w:rPr>
          <w:rFonts w:hAnsi="Times New Roman" w:cs="Times New Roman"/>
          <w:lang w:val="en-NZ"/>
        </w:rPr>
        <w:t>2</w:t>
      </w:r>
      <w:r w:rsidRPr="002925AE">
        <w:rPr>
          <w:rFonts w:hAnsi="Times New Roman" w:cs="Times New Roman"/>
          <w:lang w:val="en-NZ"/>
        </w:rPr>
        <w:t xml:space="preserve"> per cent) in the next period that also encompassed the Middle Ages and 14 (22 per cent) </w:t>
      </w:r>
      <w:r w:rsidR="00097F6E">
        <w:rPr>
          <w:rFonts w:hAnsi="Times New Roman" w:cs="Times New Roman"/>
          <w:lang w:val="en-NZ"/>
        </w:rPr>
        <w:t>in the next period up to</w:t>
      </w:r>
      <w:r w:rsidRPr="002925AE">
        <w:rPr>
          <w:rFonts w:hAnsi="Times New Roman" w:cs="Times New Roman"/>
          <w:lang w:val="en-NZ"/>
        </w:rPr>
        <w:t xml:space="preserve"> the beginning of the nineteenth century. The remaining </w:t>
      </w:r>
      <w:r w:rsidR="005C5956">
        <w:rPr>
          <w:rFonts w:hAnsi="Times New Roman" w:cs="Times New Roman"/>
          <w:lang w:val="en-NZ"/>
        </w:rPr>
        <w:t>30</w:t>
      </w:r>
      <w:r w:rsidRPr="002925AE">
        <w:rPr>
          <w:rFonts w:hAnsi="Times New Roman" w:cs="Times New Roman"/>
          <w:lang w:val="en-NZ"/>
        </w:rPr>
        <w:t xml:space="preserve"> were spread with </w:t>
      </w:r>
      <w:r w:rsidR="005C5956">
        <w:rPr>
          <w:rFonts w:hAnsi="Times New Roman" w:cs="Times New Roman"/>
          <w:lang w:val="en-NZ"/>
        </w:rPr>
        <w:t>11</w:t>
      </w:r>
      <w:r w:rsidRPr="002925AE">
        <w:rPr>
          <w:rFonts w:hAnsi="Times New Roman" w:cs="Times New Roman"/>
          <w:lang w:val="en-NZ"/>
        </w:rPr>
        <w:t xml:space="preserve"> (</w:t>
      </w:r>
      <w:r w:rsidR="005C5956">
        <w:rPr>
          <w:rFonts w:hAnsi="Times New Roman" w:cs="Times New Roman"/>
          <w:lang w:val="en-NZ"/>
        </w:rPr>
        <w:t>17</w:t>
      </w:r>
      <w:r w:rsidRPr="002925AE">
        <w:rPr>
          <w:rFonts w:hAnsi="Times New Roman" w:cs="Times New Roman"/>
          <w:lang w:val="en-NZ"/>
        </w:rPr>
        <w:t xml:space="preserve"> per cent) in the nineteenth century</w:t>
      </w:r>
      <w:r w:rsidR="005C5956">
        <w:rPr>
          <w:rFonts w:hAnsi="Times New Roman" w:cs="Times New Roman"/>
          <w:lang w:val="en-NZ"/>
        </w:rPr>
        <w:t xml:space="preserve"> and 19</w:t>
      </w:r>
      <w:r w:rsidRPr="002925AE">
        <w:rPr>
          <w:rFonts w:hAnsi="Times New Roman" w:cs="Times New Roman"/>
          <w:lang w:val="en-NZ"/>
        </w:rPr>
        <w:t xml:space="preserve"> (</w:t>
      </w:r>
      <w:r w:rsidR="00097F6E">
        <w:rPr>
          <w:rFonts w:hAnsi="Times New Roman" w:cs="Times New Roman"/>
          <w:lang w:val="en-NZ"/>
        </w:rPr>
        <w:t>30</w:t>
      </w:r>
      <w:r w:rsidRPr="002925AE">
        <w:rPr>
          <w:rFonts w:hAnsi="Times New Roman" w:cs="Times New Roman"/>
          <w:lang w:val="en-NZ"/>
        </w:rPr>
        <w:t xml:space="preserve"> per cent) in the twentieth century. Thus, it appears, a focus on religion has enabled a broader temporal spread than observed by Bisman (2012) in accounting history generally.</w:t>
      </w:r>
    </w:p>
    <w:p w:rsidR="00366B6D"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Nevertheless, even for those areas that are represented, Martinez (2004), writing in the </w:t>
      </w:r>
      <w:r w:rsidRPr="002925AE">
        <w:rPr>
          <w:rFonts w:hAnsi="Times New Roman" w:cs="Times New Roman"/>
          <w:i/>
          <w:iCs/>
          <w:lang w:val="en-NZ"/>
        </w:rPr>
        <w:t>Christian Scholar’s Review</w:t>
      </w:r>
      <w:r w:rsidRPr="002925AE">
        <w:rPr>
          <w:rFonts w:hAnsi="Times New Roman" w:cs="Times New Roman"/>
          <w:lang w:val="en-NZ"/>
        </w:rPr>
        <w:t xml:space="preserve">, laments the lack of work in business disciplines that reflects a Christian worldview (except for papers on ethics). He posits a continuum of domains from studies that are ‘faith aware’ to those that use sophisticated scriptural or theological models to solve business problems. </w:t>
      </w:r>
      <w:r w:rsidR="006E1834">
        <w:rPr>
          <w:rFonts w:hAnsi="Times New Roman" w:cs="Times New Roman"/>
          <w:lang w:val="en-NZ"/>
        </w:rPr>
        <w:t>The author’s</w:t>
      </w:r>
      <w:r w:rsidRPr="002925AE">
        <w:rPr>
          <w:rFonts w:hAnsi="Times New Roman" w:cs="Times New Roman"/>
          <w:lang w:val="en-NZ"/>
        </w:rPr>
        <w:t xml:space="preserve"> concern is that there is little of the latter, due to restraints on publication space, definitional issues, a lack of incentives (e.g. unlikely to assist gaining tenure) and segregations of ‘faith life’ from ‘professional academic life’. His special issue (see Wong &amp; Martinez, 2008) is a contribution to fill that lacuna.</w:t>
      </w:r>
      <w:r w:rsidRPr="002925AE">
        <w:rPr>
          <w:rFonts w:hAnsi="Times New Roman" w:cs="Times New Roman"/>
          <w:vertAlign w:val="superscript"/>
          <w:lang w:val="en-NZ"/>
        </w:rPr>
        <w:endnoteReference w:id="25"/>
      </w:r>
      <w:r w:rsidRPr="002925AE">
        <w:rPr>
          <w:rFonts w:hAnsi="Times New Roman" w:cs="Times New Roman"/>
          <w:lang w:val="en-NZ"/>
        </w:rPr>
        <w:t xml:space="preserve"> This concern may also be extended to other religions that are under-represented.</w:t>
      </w:r>
    </w:p>
    <w:p w:rsidR="00A14659" w:rsidRPr="002925AE" w:rsidRDefault="0016035E" w:rsidP="007D3040">
      <w:pPr>
        <w:spacing w:after="120" w:line="360" w:lineRule="auto"/>
        <w:ind w:firstLine="720"/>
        <w:rPr>
          <w:rFonts w:hAnsi="Times New Roman" w:cs="Times New Roman"/>
          <w:lang w:val="en-NZ"/>
        </w:rPr>
      </w:pPr>
      <w:r>
        <w:rPr>
          <w:rFonts w:hAnsi="Times New Roman" w:cs="Times New Roman"/>
          <w:lang w:val="en-NZ"/>
        </w:rPr>
        <w:t xml:space="preserve">More diverse characteristics were exhibited by </w:t>
      </w:r>
      <w:r w:rsidR="00A14659">
        <w:rPr>
          <w:rFonts w:hAnsi="Times New Roman" w:cs="Times New Roman"/>
          <w:lang w:val="en-NZ"/>
        </w:rPr>
        <w:t xml:space="preserve">the thirty contributions </w:t>
      </w:r>
      <w:r>
        <w:rPr>
          <w:rFonts w:hAnsi="Times New Roman" w:cs="Times New Roman"/>
          <w:lang w:val="en-NZ"/>
        </w:rPr>
        <w:t>from other</w:t>
      </w:r>
      <w:r w:rsidR="008E2A59">
        <w:rPr>
          <w:rFonts w:hAnsi="Times New Roman" w:cs="Times New Roman"/>
          <w:lang w:val="en-NZ"/>
        </w:rPr>
        <w:t xml:space="preserve"> than the </w:t>
      </w:r>
      <w:r>
        <w:rPr>
          <w:rFonts w:hAnsi="Times New Roman" w:cs="Times New Roman"/>
          <w:lang w:val="en-NZ"/>
        </w:rPr>
        <w:t>six main journals (see Table 1). Of the 1</w:t>
      </w:r>
      <w:r w:rsidR="00BE643A">
        <w:rPr>
          <w:rFonts w:hAnsi="Times New Roman" w:cs="Times New Roman"/>
          <w:lang w:val="en-NZ"/>
        </w:rPr>
        <w:t>7</w:t>
      </w:r>
      <w:r w:rsidR="00A14659">
        <w:rPr>
          <w:rFonts w:hAnsi="Times New Roman" w:cs="Times New Roman"/>
          <w:lang w:val="en-NZ"/>
        </w:rPr>
        <w:t xml:space="preserve"> </w:t>
      </w:r>
      <w:r w:rsidR="008E2A59">
        <w:rPr>
          <w:rFonts w:hAnsi="Times New Roman" w:cs="Times New Roman"/>
          <w:lang w:val="en-NZ"/>
        </w:rPr>
        <w:t xml:space="preserve">that were </w:t>
      </w:r>
      <w:r w:rsidR="00A14659">
        <w:rPr>
          <w:rFonts w:hAnsi="Times New Roman" w:cs="Times New Roman"/>
          <w:lang w:val="en-NZ"/>
        </w:rPr>
        <w:t xml:space="preserve">case studies, </w:t>
      </w:r>
      <w:r w:rsidR="001A2CDB">
        <w:rPr>
          <w:rFonts w:hAnsi="Times New Roman" w:cs="Times New Roman"/>
          <w:lang w:val="en-NZ"/>
        </w:rPr>
        <w:t>seven</w:t>
      </w:r>
      <w:r w:rsidR="00A14659">
        <w:rPr>
          <w:rFonts w:hAnsi="Times New Roman" w:cs="Times New Roman"/>
          <w:lang w:val="en-NZ"/>
        </w:rPr>
        <w:t xml:space="preserve"> used data from Europe or </w:t>
      </w:r>
      <w:r w:rsidR="00097F6E">
        <w:rPr>
          <w:rFonts w:hAnsi="Times New Roman" w:cs="Times New Roman"/>
          <w:lang w:val="en-NZ"/>
        </w:rPr>
        <w:t>Asia/</w:t>
      </w:r>
      <w:r w:rsidR="00A14659">
        <w:rPr>
          <w:rFonts w:hAnsi="Times New Roman" w:cs="Times New Roman"/>
          <w:lang w:val="en-NZ"/>
        </w:rPr>
        <w:t>Oceania (</w:t>
      </w:r>
      <w:r w:rsidR="001A2CDB">
        <w:rPr>
          <w:rFonts w:hAnsi="Times New Roman" w:cs="Times New Roman"/>
          <w:lang w:val="en-NZ"/>
        </w:rPr>
        <w:t>41</w:t>
      </w:r>
      <w:r w:rsidR="00A14659">
        <w:rPr>
          <w:rFonts w:hAnsi="Times New Roman" w:cs="Times New Roman"/>
          <w:lang w:val="en-NZ"/>
        </w:rPr>
        <w:t xml:space="preserve"> per cent compared to </w:t>
      </w:r>
      <w:r w:rsidR="001A2CDB">
        <w:rPr>
          <w:rFonts w:hAnsi="Times New Roman" w:cs="Times New Roman"/>
          <w:lang w:val="en-NZ"/>
        </w:rPr>
        <w:t>58</w:t>
      </w:r>
      <w:r w:rsidR="00A14659">
        <w:rPr>
          <w:rFonts w:hAnsi="Times New Roman" w:cs="Times New Roman"/>
          <w:lang w:val="en-NZ"/>
        </w:rPr>
        <w:t xml:space="preserve"> per cent in the accounting journals listed) with five each from Africa/Middle East and the Americas</w:t>
      </w:r>
      <w:r>
        <w:rPr>
          <w:rFonts w:hAnsi="Times New Roman" w:cs="Times New Roman"/>
          <w:lang w:val="en-NZ"/>
        </w:rPr>
        <w:t xml:space="preserve"> (</w:t>
      </w:r>
      <w:r w:rsidR="001A2CDB">
        <w:rPr>
          <w:rFonts w:hAnsi="Times New Roman" w:cs="Times New Roman"/>
          <w:lang w:val="en-NZ"/>
        </w:rPr>
        <w:t>29</w:t>
      </w:r>
      <w:r w:rsidR="004B2669">
        <w:rPr>
          <w:rFonts w:hAnsi="Times New Roman" w:cs="Times New Roman"/>
          <w:lang w:val="en-NZ"/>
        </w:rPr>
        <w:t>.5</w:t>
      </w:r>
      <w:r>
        <w:rPr>
          <w:rFonts w:hAnsi="Times New Roman" w:cs="Times New Roman"/>
          <w:lang w:val="en-NZ"/>
        </w:rPr>
        <w:t xml:space="preserve"> per cent each)</w:t>
      </w:r>
      <w:r w:rsidR="00A14659">
        <w:rPr>
          <w:rFonts w:hAnsi="Times New Roman" w:cs="Times New Roman"/>
          <w:lang w:val="en-NZ"/>
        </w:rPr>
        <w:t xml:space="preserve">. </w:t>
      </w:r>
      <w:r w:rsidR="008E2A59">
        <w:rPr>
          <w:rFonts w:hAnsi="Times New Roman" w:cs="Times New Roman"/>
          <w:lang w:val="en-NZ"/>
        </w:rPr>
        <w:t xml:space="preserve">Fewer of these interdisciplinary publications were based </w:t>
      </w:r>
      <w:r w:rsidR="001A2CDB">
        <w:rPr>
          <w:rFonts w:hAnsi="Times New Roman" w:cs="Times New Roman"/>
          <w:lang w:val="en-NZ"/>
        </w:rPr>
        <w:t>on Christian case study sites (9</w:t>
      </w:r>
      <w:r w:rsidR="008E2A59">
        <w:rPr>
          <w:rFonts w:hAnsi="Times New Roman" w:cs="Times New Roman"/>
          <w:lang w:val="en-NZ"/>
        </w:rPr>
        <w:t xml:space="preserve"> or </w:t>
      </w:r>
      <w:r w:rsidR="001A2CDB">
        <w:rPr>
          <w:rFonts w:hAnsi="Times New Roman" w:cs="Times New Roman"/>
          <w:lang w:val="en-NZ"/>
        </w:rPr>
        <w:t>5</w:t>
      </w:r>
      <w:r>
        <w:rPr>
          <w:rFonts w:hAnsi="Times New Roman" w:cs="Times New Roman"/>
          <w:lang w:val="en-NZ"/>
        </w:rPr>
        <w:t>3</w:t>
      </w:r>
      <w:r w:rsidR="008E2A59">
        <w:rPr>
          <w:rFonts w:hAnsi="Times New Roman" w:cs="Times New Roman"/>
          <w:lang w:val="en-NZ"/>
        </w:rPr>
        <w:t xml:space="preserve"> per cent compared to </w:t>
      </w:r>
      <w:r w:rsidR="001A2CDB">
        <w:rPr>
          <w:rFonts w:hAnsi="Times New Roman" w:cs="Times New Roman"/>
          <w:lang w:val="en-NZ"/>
        </w:rPr>
        <w:t>69</w:t>
      </w:r>
      <w:r w:rsidR="008E2A59">
        <w:rPr>
          <w:rFonts w:hAnsi="Times New Roman" w:cs="Times New Roman"/>
          <w:lang w:val="en-NZ"/>
        </w:rPr>
        <w:t xml:space="preserve"> per cent from the accounting journals listed), with three using Islamic, two Jewish, one Buddhist, one Inca (and Roman Catholic) and one Egyptian funerary rites.</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Methodological gaps: comparative studies and social histories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As noted, the organisational archive is the most prevalent site of research. Hence, there are few comparative studies (Carnegie &amp; Potter, 2000; Bisman, 2012). Liyanarachchi (2015) is an exception. That paper extends Liyanarachchi’s (2009) study into early Buddhist-Sri Lankan accounting by compari</w:t>
      </w:r>
      <w:r w:rsidR="004B2669">
        <w:rPr>
          <w:rFonts w:hAnsi="Times New Roman" w:cs="Times New Roman"/>
          <w:lang w:val="en-NZ"/>
        </w:rPr>
        <w:t xml:space="preserve">ng it </w:t>
      </w:r>
      <w:r w:rsidRPr="002925AE">
        <w:rPr>
          <w:rFonts w:hAnsi="Times New Roman" w:cs="Times New Roman"/>
          <w:lang w:val="en-NZ"/>
        </w:rPr>
        <w:t xml:space="preserve">to English manorial, Genevan partnership and agency accounting to find that “different bookkeeping methods were used to meet divergent accountability needs” (Liyanarachchi, 2015: 15).  He links the more complex accounting found in Sri Lankan Buddhist temples to the social importance of these entities in society (Liyanarachchi, 2015). Nevertheless, </w:t>
      </w:r>
      <w:r w:rsidR="00FD014D">
        <w:rPr>
          <w:rFonts w:hAnsi="Times New Roman" w:cs="Times New Roman"/>
          <w:lang w:val="en-NZ"/>
        </w:rPr>
        <w:t xml:space="preserve">this review confirms the call by </w:t>
      </w:r>
      <w:r w:rsidR="00FD014D" w:rsidRPr="002925AE">
        <w:rPr>
          <w:rFonts w:hAnsi="Times New Roman" w:cs="Times New Roman"/>
          <w:lang w:val="en-NZ"/>
        </w:rPr>
        <w:t>Carnegie (2014)</w:t>
      </w:r>
      <w:r w:rsidR="00FD014D">
        <w:rPr>
          <w:rFonts w:hAnsi="Times New Roman" w:cs="Times New Roman"/>
          <w:lang w:val="en-NZ"/>
        </w:rPr>
        <w:t xml:space="preserve">, that </w:t>
      </w:r>
      <w:r w:rsidRPr="002925AE">
        <w:rPr>
          <w:rFonts w:hAnsi="Times New Roman" w:cs="Times New Roman"/>
          <w:lang w:val="en-NZ"/>
        </w:rPr>
        <w:t xml:space="preserve">more studies are needed </w:t>
      </w:r>
      <w:r w:rsidR="00FD014D">
        <w:rPr>
          <w:rFonts w:hAnsi="Times New Roman" w:cs="Times New Roman"/>
          <w:lang w:val="en-NZ"/>
        </w:rPr>
        <w:t>which</w:t>
      </w:r>
      <w:r w:rsidRPr="002925AE">
        <w:rPr>
          <w:rFonts w:hAnsi="Times New Roman" w:cs="Times New Roman"/>
          <w:lang w:val="en-NZ"/>
        </w:rPr>
        <w:t xml:space="preserve"> compare and contrast different contexts</w:t>
      </w:r>
      <w:r w:rsidR="00FD014D">
        <w:rPr>
          <w:rFonts w:hAnsi="Times New Roman" w:cs="Times New Roman"/>
          <w:lang w:val="en-NZ"/>
        </w:rPr>
        <w:t>.</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In various other reviews of accounting history research (for example, Fleischman &amp; Radcliffe, 2005), it has been acknowledged that biographies, prosopographies and oral histories are fruitful methodologies in accounting history research. Parker (1999) </w:t>
      </w:r>
      <w:r w:rsidR="00FD014D">
        <w:rPr>
          <w:rFonts w:hAnsi="Times New Roman" w:cs="Times New Roman"/>
          <w:lang w:val="en-NZ"/>
        </w:rPr>
        <w:t>appeals for</w:t>
      </w:r>
      <w:r w:rsidRPr="002925AE">
        <w:rPr>
          <w:rFonts w:hAnsi="Times New Roman" w:cs="Times New Roman"/>
          <w:lang w:val="en-NZ"/>
        </w:rPr>
        <w:t xml:space="preserve"> more social histories – that is, stories from below.</w:t>
      </w:r>
      <w:r w:rsidR="000502B9">
        <w:rPr>
          <w:rStyle w:val="EndnoteReference"/>
          <w:rFonts w:hAnsi="Times New Roman" w:cs="Times New Roman"/>
          <w:lang w:val="en-NZ"/>
        </w:rPr>
        <w:endnoteReference w:id="26"/>
      </w:r>
      <w:r w:rsidRPr="002925AE">
        <w:rPr>
          <w:rFonts w:hAnsi="Times New Roman" w:cs="Times New Roman"/>
          <w:lang w:val="en-NZ"/>
        </w:rPr>
        <w:t xml:space="preserve"> Yet, in this review of the last three decades, there are few personal stories, except for Walker’s (1998) consideration of the British Middle Class, Lightbody’s (2000, 2003) and Parker’s (2001, 2002) analyses of church-b</w:t>
      </w:r>
      <w:r w:rsidR="005C5956">
        <w:rPr>
          <w:rFonts w:hAnsi="Times New Roman" w:cs="Times New Roman"/>
          <w:lang w:val="en-NZ"/>
        </w:rPr>
        <w:t>ased accountants and accounting</w:t>
      </w:r>
      <w:r w:rsidRPr="002925AE">
        <w:rPr>
          <w:rFonts w:hAnsi="Times New Roman" w:cs="Times New Roman"/>
          <w:lang w:val="en-NZ"/>
        </w:rPr>
        <w:t>. ‘Stories from below’ are also indicated in calls for social justice through a biblical jubilee or Liberation Theology (Gallhofer &amp; Haslam, 2004; Moerman, 2008); Dixon and Gaffikin’s (2013) analysis of change in Kiribas provide</w:t>
      </w:r>
      <w:r w:rsidR="005C5956">
        <w:rPr>
          <w:rFonts w:hAnsi="Times New Roman" w:cs="Times New Roman"/>
          <w:lang w:val="en-NZ"/>
        </w:rPr>
        <w:t>s an</w:t>
      </w:r>
      <w:r w:rsidRPr="002925AE">
        <w:rPr>
          <w:rFonts w:hAnsi="Times New Roman" w:cs="Times New Roman"/>
          <w:lang w:val="en-NZ"/>
        </w:rPr>
        <w:t xml:space="preserve"> example of how this topic could be approached.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However, even social histories of leaders (‘stories from above’) are remarkably absent from the accounting history and religion genre. One exception is Barlev’s (2006) analysis of Moses’ leadership of the enslaved Israelites, as they sought freedom from the Egyptians. </w:t>
      </w:r>
      <w:r w:rsidR="001A2CDB">
        <w:rPr>
          <w:rFonts w:hAnsi="Times New Roman" w:cs="Times New Roman"/>
          <w:lang w:val="en-NZ"/>
        </w:rPr>
        <w:t>Moses</w:t>
      </w:r>
      <w:r w:rsidRPr="002925AE">
        <w:rPr>
          <w:rFonts w:hAnsi="Times New Roman" w:cs="Times New Roman"/>
          <w:lang w:val="en-NZ"/>
        </w:rPr>
        <w:t xml:space="preserve"> provided rules and regulations for </w:t>
      </w:r>
      <w:r w:rsidR="004B2669">
        <w:rPr>
          <w:rFonts w:hAnsi="Times New Roman" w:cs="Times New Roman"/>
          <w:lang w:val="en-NZ"/>
        </w:rPr>
        <w:t>Israelites</w:t>
      </w:r>
      <w:r w:rsidRPr="002925AE">
        <w:rPr>
          <w:rFonts w:hAnsi="Times New Roman" w:cs="Times New Roman"/>
          <w:lang w:val="en-NZ"/>
        </w:rPr>
        <w:t xml:space="preserve"> to live by, </w:t>
      </w:r>
      <w:r w:rsidR="004B2669">
        <w:rPr>
          <w:rFonts w:hAnsi="Times New Roman" w:cs="Times New Roman"/>
          <w:lang w:val="en-NZ"/>
        </w:rPr>
        <w:t>modelled</w:t>
      </w:r>
      <w:r w:rsidRPr="002925AE">
        <w:rPr>
          <w:rFonts w:hAnsi="Times New Roman" w:cs="Times New Roman"/>
          <w:lang w:val="en-NZ"/>
        </w:rPr>
        <w:t xml:space="preserve"> servant leadership</w:t>
      </w:r>
      <w:r w:rsidR="004B2669">
        <w:rPr>
          <w:rFonts w:hAnsi="Times New Roman" w:cs="Times New Roman"/>
          <w:lang w:val="en-NZ"/>
        </w:rPr>
        <w:t>,</w:t>
      </w:r>
      <w:r w:rsidRPr="002925AE">
        <w:rPr>
          <w:rFonts w:hAnsi="Times New Roman" w:cs="Times New Roman"/>
          <w:lang w:val="en-NZ"/>
        </w:rPr>
        <w:t xml:space="preserve"> and </w:t>
      </w:r>
      <w:r w:rsidR="004B2669">
        <w:rPr>
          <w:rFonts w:hAnsi="Times New Roman" w:cs="Times New Roman"/>
          <w:lang w:val="en-NZ"/>
        </w:rPr>
        <w:t xml:space="preserve">developed </w:t>
      </w:r>
      <w:r w:rsidRPr="002925AE">
        <w:rPr>
          <w:rFonts w:hAnsi="Times New Roman" w:cs="Times New Roman"/>
          <w:lang w:val="en-NZ"/>
        </w:rPr>
        <w:t xml:space="preserve">an accountability system that was reinforced in parables and Talmud passages. The other exception is Parker’s (2014) study of the impact of religious ethics on Britain’s industrial pioneers and their socially-responsible actions, while Cordery (2006) and Jacobs (2005) analyse the effect of John Wesley’s values on the accountability and behaviour of Methodists.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Methodologically, Parker (1999) and Walker (2006) note there has been a lack of oral histories on accounting history and religion. Oral histories highlight individuals’ experiences, and can be especially useful to surface the voices of those who have been ignored or marginalised within the accounting literature. Haynes (2010) also suggests that oral history is particularly useful for critical research (including that informed by feminism), although she warns researchers of the need to manage power relations carefully. Nevertheless, Kreander et al.’s (2004) oral history is the only contribution reviewed here that utilises this methodology. </w:t>
      </w:r>
    </w:p>
    <w:p w:rsidR="00366B6D" w:rsidRPr="002925AE" w:rsidRDefault="000D1A57" w:rsidP="007D3040">
      <w:pPr>
        <w:spacing w:after="120" w:line="360" w:lineRule="auto"/>
        <w:ind w:firstLine="720"/>
        <w:rPr>
          <w:rFonts w:hAnsi="Times New Roman" w:cs="Times New Roman"/>
          <w:i/>
          <w:iCs/>
          <w:lang w:val="en-NZ"/>
        </w:rPr>
      </w:pPr>
      <w:r w:rsidRPr="002925AE">
        <w:rPr>
          <w:rFonts w:hAnsi="Times New Roman" w:cs="Times New Roman"/>
          <w:i/>
          <w:iCs/>
          <w:lang w:val="en-NZ"/>
        </w:rPr>
        <w:t>Theoretical extensions</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Parker (1999) encourage</w:t>
      </w:r>
      <w:r w:rsidR="001A2CDB">
        <w:rPr>
          <w:rFonts w:hAnsi="Times New Roman" w:cs="Times New Roman"/>
          <w:lang w:val="en-NZ"/>
        </w:rPr>
        <w:t>s</w:t>
      </w:r>
      <w:r w:rsidRPr="002925AE">
        <w:rPr>
          <w:rFonts w:hAnsi="Times New Roman" w:cs="Times New Roman"/>
          <w:lang w:val="en-NZ"/>
        </w:rPr>
        <w:t xml:space="preserve"> ‘rediscovering narrative’ in order to critically evaluate the past. A number of authors of accounting history and religion contributions over the past three decade have (re)interpreted the same or an expanded dataset from different perspectives (see, Laughlin, 1988, 1990; Ezzamel, 1997, 2005; Lightbody, 2000, 2003; Parker, 2001, 2002; Dobie, 2008a, 2008b, 2011; Liyanarachchi, 2009, 2015; Bigoni et al., 2013; Payer-Langthaler &amp; Hiebl, 2013; Hiebl &amp; Feldbauer-Durstmüller, 2014; Bigoni &amp; Funnell, 2015). Such reflections can add to our current practice and understanding of why things are as they are, and how they can be changed for the better, especially when they are comparative (see above).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Studies on the sacred-secular divide have dominated the accounting history research since the late 1980s, and yet the arguments have progressed little. There is a need to recognise the tension that occurs in times of resource constraint, and the manner in which organisations work through these constraints to achieve their mission. In particular, no studies have been found which utilise theories such as resource dependency [an acknowledged theory commonly used in not-for-profit organisations (for example, Froelich, 1999; Mourey </w:t>
      </w:r>
      <w:r w:rsidR="00B23874">
        <w:rPr>
          <w:rFonts w:hAnsi="Times New Roman" w:cs="Times New Roman"/>
          <w:lang w:val="en-NZ"/>
        </w:rPr>
        <w:t>et al.</w:t>
      </w:r>
      <w:r w:rsidRPr="002925AE">
        <w:rPr>
          <w:rFonts w:hAnsi="Times New Roman" w:cs="Times New Roman"/>
          <w:lang w:val="en-NZ"/>
        </w:rPr>
        <w:t xml:space="preserve">, 2013)] in conjunction with relevant stakeholder, accountability and/or decline theories.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Three of the papers reviewed used a Foucauldian lens to analyse Christian case studies, undertake theoretical analysis, or utilise the concept of governmentality (Baker, 2006; Bigoni et al., 2013; Madonna et al., 2014). Certainly, Foucault’s theories could be extended to accounting in other faiths. Further, the extension of theories by other philosophers, such as Bourdieu</w:t>
      </w:r>
      <w:r w:rsidR="004B2669">
        <w:rPr>
          <w:rFonts w:hAnsi="Times New Roman" w:cs="Times New Roman"/>
          <w:lang w:val="en-NZ"/>
        </w:rPr>
        <w:t>,</w:t>
      </w:r>
      <w:r w:rsidRPr="002925AE">
        <w:rPr>
          <w:rFonts w:hAnsi="Times New Roman" w:cs="Times New Roman"/>
          <w:lang w:val="en-NZ"/>
        </w:rPr>
        <w:t xml:space="preserve"> in addition to Nietzsche and Eliade, would be welcome. </w:t>
      </w:r>
    </w:p>
    <w:p w:rsidR="00366B6D" w:rsidRPr="002925AE" w:rsidRDefault="000D1A57" w:rsidP="007D3040">
      <w:pPr>
        <w:spacing w:after="120" w:line="360" w:lineRule="auto"/>
        <w:ind w:firstLine="720"/>
        <w:rPr>
          <w:rFonts w:hAnsi="Times New Roman" w:cs="Times New Roman"/>
          <w:lang w:val="en-NZ"/>
        </w:rPr>
      </w:pPr>
      <w:r w:rsidRPr="002925AE">
        <w:rPr>
          <w:rFonts w:hAnsi="Times New Roman" w:cs="Times New Roman"/>
          <w:lang w:val="en-NZ"/>
        </w:rPr>
        <w:t xml:space="preserve">Parker (1999) and Martinez (2004) call for more engagement with business-related theories, and Carnegie (2014), with other interdisciplinary theoretical viewpoints. Except for Hiebl and Feldbauer-Durstmüller (2014) utilising organisational role theory in their contemporary study, there has been little response to such </w:t>
      </w:r>
      <w:r w:rsidR="00FD014D">
        <w:rPr>
          <w:rFonts w:hAnsi="Times New Roman" w:cs="Times New Roman"/>
          <w:lang w:val="en-NZ"/>
        </w:rPr>
        <w:t>appeals</w:t>
      </w:r>
      <w:r w:rsidRPr="002925AE">
        <w:rPr>
          <w:rFonts w:hAnsi="Times New Roman" w:cs="Times New Roman"/>
          <w:lang w:val="en-NZ"/>
        </w:rPr>
        <w:t xml:space="preserve">. Further, Carmona and Ezzamel (2009) call for more reviews of key accounting concepts, such as prudence and stewardship, given the prior analysis of wealth (Baker, 2006), jubilee (Moerman, 2008), and emancipatory possibilities (Gallhofer &amp; Haslam, 2004). Ethics is also an important area both for accountants as individuals, and for reporting entities. Thus, reviews of ethics such as those provided by </w:t>
      </w:r>
      <w:r w:rsidR="005C5956">
        <w:rPr>
          <w:rFonts w:hAnsi="Times New Roman" w:cs="Times New Roman"/>
          <w:lang w:val="en-NZ"/>
        </w:rPr>
        <w:t xml:space="preserve">Ornatorwski (1996), </w:t>
      </w:r>
      <w:r w:rsidR="005C5956" w:rsidRPr="002925AE">
        <w:rPr>
          <w:rFonts w:hAnsi="Times New Roman" w:cs="Times New Roman"/>
          <w:lang w:val="en-NZ"/>
        </w:rPr>
        <w:t>Triyuwono (1996)</w:t>
      </w:r>
      <w:r w:rsidR="005C5956">
        <w:rPr>
          <w:rFonts w:hAnsi="Times New Roman" w:cs="Times New Roman"/>
          <w:lang w:val="en-NZ"/>
        </w:rPr>
        <w:t>,</w:t>
      </w:r>
      <w:r w:rsidR="005C5956" w:rsidRPr="002925AE">
        <w:rPr>
          <w:rFonts w:hAnsi="Times New Roman" w:cs="Times New Roman"/>
          <w:lang w:val="en-NZ"/>
        </w:rPr>
        <w:t xml:space="preserve"> Knouse et al. (2007), </w:t>
      </w:r>
      <w:r w:rsidRPr="002925AE">
        <w:rPr>
          <w:rFonts w:hAnsi="Times New Roman" w:cs="Times New Roman"/>
          <w:lang w:val="en-NZ"/>
        </w:rPr>
        <w:t xml:space="preserve">Costa and Ramus (2011) and Lim (2014) highlight an area which is ripe for further analysis. </w:t>
      </w:r>
    </w:p>
    <w:p w:rsidR="005C5956" w:rsidRDefault="000D1A57" w:rsidP="005C5956">
      <w:pPr>
        <w:spacing w:after="120" w:line="360" w:lineRule="auto"/>
        <w:ind w:firstLine="720"/>
        <w:rPr>
          <w:rFonts w:hAnsi="Times New Roman" w:cs="Times New Roman"/>
          <w:lang w:val="en-NZ"/>
        </w:rPr>
      </w:pPr>
      <w:r w:rsidRPr="002925AE">
        <w:rPr>
          <w:rFonts w:hAnsi="Times New Roman" w:cs="Times New Roman"/>
          <w:lang w:val="en-NZ"/>
        </w:rPr>
        <w:t>Finally, there is a lack of studies into accounting-related topics such as externally-mandated taxes (Lee, 2006; Riccabon</w:t>
      </w:r>
      <w:r w:rsidR="004B2669">
        <w:rPr>
          <w:rFonts w:hAnsi="Times New Roman" w:cs="Times New Roman"/>
          <w:lang w:val="en-NZ"/>
        </w:rPr>
        <w:t>i</w:t>
      </w:r>
      <w:r w:rsidRPr="002925AE">
        <w:rPr>
          <w:rFonts w:hAnsi="Times New Roman" w:cs="Times New Roman"/>
          <w:lang w:val="en-NZ"/>
        </w:rPr>
        <w:t xml:space="preserve"> et al., 2006; H</w:t>
      </w:r>
      <w:r w:rsidR="005C5956">
        <w:rPr>
          <w:rFonts w:hAnsi="Times New Roman" w:cs="Times New Roman"/>
          <w:lang w:val="en-NZ"/>
        </w:rPr>
        <w:t>o</w:t>
      </w:r>
      <w:r w:rsidRPr="002925AE">
        <w:rPr>
          <w:rFonts w:hAnsi="Times New Roman" w:cs="Times New Roman"/>
          <w:lang w:val="en-NZ"/>
        </w:rPr>
        <w:t>ng, 2014 are exceptions), management of social enterprises (except for Bracci et al., 2010; Orelli et al., 2013; Madonna et al., 2014), and management accounting (apart from Dobie, 2008a, 2011; Payer-Langthaler &amp; Hiebl, 2013; Hiebl &amp; Feldbauer-Durstmüller, 2014; Hing, 2014).</w:t>
      </w:r>
      <w:r w:rsidR="005C5956">
        <w:rPr>
          <w:rFonts w:hAnsi="Times New Roman" w:cs="Times New Roman"/>
          <w:lang w:val="en-NZ"/>
        </w:rPr>
        <w:t xml:space="preserve"> The subject of interest/usury has been analysed (Visser and MacIntosh, 1998; </w:t>
      </w:r>
      <w:r w:rsidR="005C5956" w:rsidRPr="00470C06">
        <w:rPr>
          <w:rFonts w:hAnsi="Times New Roman" w:cs="Times New Roman"/>
          <w:lang w:val="en-NZ"/>
        </w:rPr>
        <w:t xml:space="preserve">Jafri </w:t>
      </w:r>
      <w:r w:rsidR="005C5956">
        <w:rPr>
          <w:rFonts w:hAnsi="Times New Roman" w:cs="Times New Roman"/>
          <w:lang w:val="en-NZ"/>
        </w:rPr>
        <w:t>a</w:t>
      </w:r>
      <w:r w:rsidR="005C5956" w:rsidRPr="00470C06">
        <w:rPr>
          <w:rFonts w:hAnsi="Times New Roman" w:cs="Times New Roman"/>
          <w:lang w:val="en-NZ"/>
        </w:rPr>
        <w:t>nd Margolis</w:t>
      </w:r>
      <w:r w:rsidR="005C5956">
        <w:rPr>
          <w:rFonts w:hAnsi="Times New Roman" w:cs="Times New Roman"/>
          <w:lang w:val="en-NZ"/>
        </w:rPr>
        <w:t xml:space="preserve">, 1999; Lister, 2006), but its effects and changes in attitudes may also be worth of further study. </w:t>
      </w:r>
    </w:p>
    <w:p w:rsidR="005C5956" w:rsidRDefault="005C5956" w:rsidP="005C5956">
      <w:pPr>
        <w:spacing w:after="120" w:line="360" w:lineRule="auto"/>
        <w:rPr>
          <w:rFonts w:hAnsi="Times New Roman" w:cs="Times New Roman"/>
          <w:lang w:val="en-NZ"/>
        </w:rPr>
      </w:pPr>
    </w:p>
    <w:p w:rsidR="00366B6D" w:rsidRDefault="000D1A57" w:rsidP="005C5956">
      <w:pPr>
        <w:spacing w:after="120" w:line="360" w:lineRule="auto"/>
        <w:rPr>
          <w:b/>
          <w:bCs/>
          <w:lang w:val="en-NZ"/>
        </w:rPr>
      </w:pPr>
      <w:r w:rsidRPr="007D3040">
        <w:rPr>
          <w:b/>
          <w:bCs/>
          <w:lang w:val="en-NZ"/>
        </w:rPr>
        <w:t xml:space="preserve">8: </w:t>
      </w:r>
      <w:r w:rsidR="00C2407F">
        <w:rPr>
          <w:b/>
          <w:bCs/>
          <w:lang w:val="en-NZ"/>
        </w:rPr>
        <w:t>Theoretical analysis and c</w:t>
      </w:r>
      <w:r w:rsidRPr="007D3040">
        <w:rPr>
          <w:b/>
          <w:bCs/>
          <w:lang w:val="en-NZ"/>
        </w:rPr>
        <w:t>onclusion</w:t>
      </w:r>
    </w:p>
    <w:p w:rsidR="005A423D" w:rsidRPr="005A423D" w:rsidRDefault="000D1A57" w:rsidP="007D3040">
      <w:pPr>
        <w:spacing w:after="120" w:line="360" w:lineRule="auto"/>
        <w:rPr>
          <w:rFonts w:hAnsi="Times New Roman" w:cs="Times New Roman"/>
          <w:lang w:val="en-NZ"/>
        </w:rPr>
      </w:pPr>
      <w:r w:rsidRPr="002925AE">
        <w:rPr>
          <w:rFonts w:hAnsi="Times New Roman" w:cs="Times New Roman"/>
          <w:lang w:val="en-NZ"/>
        </w:rPr>
        <w:t xml:space="preserve">This paper has analysed the relationship between accounting history and religion by considering published contributions over the past three decades according to research source, time period, theoretical framework/theme, faith and region. </w:t>
      </w:r>
      <w:r w:rsidR="00743C59">
        <w:rPr>
          <w:rFonts w:hAnsi="Times New Roman" w:cs="Times New Roman"/>
          <w:lang w:val="en-NZ"/>
        </w:rPr>
        <w:t>In addition to including other reviews on this topic, this paper specifically analysed case studies and theoretical approaches using a micro</w:t>
      </w:r>
      <w:r w:rsidR="001A2CDB">
        <w:rPr>
          <w:rFonts w:hAnsi="Times New Roman" w:cs="Times New Roman"/>
          <w:lang w:val="en-NZ"/>
        </w:rPr>
        <w:t>-</w:t>
      </w:r>
      <w:r w:rsidR="00743C59">
        <w:rPr>
          <w:rFonts w:hAnsi="Times New Roman" w:cs="Times New Roman"/>
          <w:lang w:val="en-NZ"/>
        </w:rPr>
        <w:t xml:space="preserve"> and macro</w:t>
      </w:r>
      <w:r w:rsidR="001A2CDB">
        <w:rPr>
          <w:rFonts w:hAnsi="Times New Roman" w:cs="Times New Roman"/>
          <w:lang w:val="en-NZ"/>
        </w:rPr>
        <w:t>-perspective framework</w:t>
      </w:r>
      <w:r w:rsidR="00602DB4">
        <w:rPr>
          <w:rFonts w:hAnsi="Times New Roman" w:cs="Times New Roman"/>
          <w:lang w:val="en-NZ"/>
        </w:rPr>
        <w:t xml:space="preserve"> (</w:t>
      </w:r>
      <w:r w:rsidR="004B2669">
        <w:rPr>
          <w:rFonts w:hAnsi="Times New Roman" w:cs="Times New Roman"/>
          <w:lang w:val="en-NZ"/>
        </w:rPr>
        <w:t>this analysis did not include</w:t>
      </w:r>
      <w:r w:rsidR="00602DB4">
        <w:rPr>
          <w:rFonts w:hAnsi="Times New Roman" w:cs="Times New Roman"/>
          <w:lang w:val="en-NZ"/>
        </w:rPr>
        <w:t xml:space="preserve"> the </w:t>
      </w:r>
      <w:r w:rsidR="0065477E">
        <w:rPr>
          <w:rFonts w:hAnsi="Times New Roman" w:cs="Times New Roman"/>
          <w:lang w:val="en-NZ"/>
        </w:rPr>
        <w:t xml:space="preserve">eight </w:t>
      </w:r>
      <w:r w:rsidR="00602DB4">
        <w:rPr>
          <w:rFonts w:hAnsi="Times New Roman" w:cs="Times New Roman"/>
          <w:lang w:val="en-NZ"/>
        </w:rPr>
        <w:t>review papers)</w:t>
      </w:r>
      <w:r w:rsidR="001A2CDB">
        <w:rPr>
          <w:rFonts w:hAnsi="Times New Roman" w:cs="Times New Roman"/>
          <w:lang w:val="en-NZ"/>
        </w:rPr>
        <w:t>.</w:t>
      </w:r>
      <w:r w:rsidR="005A423D">
        <w:rPr>
          <w:rFonts w:hAnsi="Times New Roman" w:cs="Times New Roman"/>
          <w:lang w:val="en-NZ"/>
        </w:rPr>
        <w:t xml:space="preserve">  </w:t>
      </w:r>
      <w:r w:rsidR="005A423D" w:rsidRPr="00953DEC">
        <w:rPr>
          <w:rFonts w:hAnsi="Times New Roman" w:cs="Times New Roman"/>
          <w:lang w:val="en-NZ"/>
        </w:rPr>
        <w:t>This analysis d</w:t>
      </w:r>
      <w:r w:rsidR="005A423D" w:rsidRPr="00953DEC">
        <w:rPr>
          <w:rFonts w:hAnsi="Times New Roman" w:cs="Times New Roman"/>
        </w:rPr>
        <w:t>raws upon level two theorizing (i.e. differentiation theories) under the five levels of theorizing identified and discussed by Llewellyn (2003).</w:t>
      </w:r>
      <w:r w:rsidR="005A423D" w:rsidRPr="005A423D">
        <w:rPr>
          <w:rFonts w:hAnsi="Times New Roman" w:cs="Times New Roman"/>
        </w:rPr>
        <w:t xml:space="preserve">  </w:t>
      </w:r>
    </w:p>
    <w:p w:rsidR="00D35B49" w:rsidRDefault="00743C59" w:rsidP="00602DB4">
      <w:pPr>
        <w:spacing w:after="120" w:line="360" w:lineRule="auto"/>
        <w:ind w:firstLine="720"/>
        <w:rPr>
          <w:rFonts w:hAnsi="Times New Roman" w:cs="Times New Roman"/>
          <w:lang w:val="en-NZ"/>
        </w:rPr>
      </w:pPr>
      <w:r w:rsidRPr="005A423D">
        <w:rPr>
          <w:rFonts w:hAnsi="Times New Roman" w:cs="Times New Roman"/>
          <w:lang w:val="en-NZ"/>
        </w:rPr>
        <w:t>Firs</w:t>
      </w:r>
      <w:r w:rsidR="00602DB4" w:rsidRPr="005A423D">
        <w:rPr>
          <w:rFonts w:hAnsi="Times New Roman" w:cs="Times New Roman"/>
          <w:lang w:val="en-NZ"/>
        </w:rPr>
        <w:t>t</w:t>
      </w:r>
      <w:r w:rsidRPr="005A423D">
        <w:rPr>
          <w:rFonts w:hAnsi="Times New Roman" w:cs="Times New Roman"/>
          <w:lang w:val="en-NZ"/>
        </w:rPr>
        <w:t>, this framework</w:t>
      </w:r>
      <w:r w:rsidR="000D1A57" w:rsidRPr="005A423D">
        <w:rPr>
          <w:rFonts w:hAnsi="Times New Roman" w:cs="Times New Roman"/>
          <w:lang w:val="en-NZ"/>
        </w:rPr>
        <w:t xml:space="preserve"> trace</w:t>
      </w:r>
      <w:r w:rsidRPr="005A423D">
        <w:rPr>
          <w:rFonts w:hAnsi="Times New Roman" w:cs="Times New Roman"/>
          <w:lang w:val="en-NZ"/>
        </w:rPr>
        <w:t>s</w:t>
      </w:r>
      <w:r w:rsidR="000D1A57" w:rsidRPr="005A423D">
        <w:rPr>
          <w:rFonts w:hAnsi="Times New Roman" w:cs="Times New Roman"/>
          <w:lang w:val="en-NZ"/>
        </w:rPr>
        <w:t xml:space="preserve"> the manner in which understanding of accounting has developed </w:t>
      </w:r>
      <w:r w:rsidR="00A43A9A" w:rsidRPr="005A423D">
        <w:rPr>
          <w:rFonts w:hAnsi="Times New Roman" w:cs="Times New Roman"/>
          <w:lang w:val="en-NZ"/>
        </w:rPr>
        <w:t xml:space="preserve">within </w:t>
      </w:r>
      <w:r w:rsidRPr="005A423D">
        <w:rPr>
          <w:rFonts w:hAnsi="Times New Roman" w:cs="Times New Roman"/>
          <w:lang w:val="en-NZ"/>
        </w:rPr>
        <w:t xml:space="preserve">religious </w:t>
      </w:r>
      <w:r w:rsidR="00A43A9A" w:rsidRPr="005A423D">
        <w:rPr>
          <w:rFonts w:hAnsi="Times New Roman" w:cs="Times New Roman"/>
          <w:lang w:val="en-NZ"/>
        </w:rPr>
        <w:t xml:space="preserve">organisations – that is, </w:t>
      </w:r>
      <w:r w:rsidRPr="005A423D">
        <w:rPr>
          <w:rFonts w:hAnsi="Times New Roman" w:cs="Times New Roman"/>
          <w:lang w:val="en-NZ"/>
        </w:rPr>
        <w:t>c</w:t>
      </w:r>
      <w:r>
        <w:rPr>
          <w:rFonts w:hAnsi="Times New Roman" w:cs="Times New Roman"/>
          <w:lang w:val="en-NZ"/>
        </w:rPr>
        <w:t xml:space="preserve">ontributions taking </w:t>
      </w:r>
      <w:r w:rsidR="00A43A9A">
        <w:rPr>
          <w:rFonts w:hAnsi="Times New Roman" w:cs="Times New Roman"/>
          <w:lang w:val="en-NZ"/>
        </w:rPr>
        <w:t>a micro</w:t>
      </w:r>
      <w:r w:rsidR="002E6C73">
        <w:rPr>
          <w:rFonts w:hAnsi="Times New Roman" w:cs="Times New Roman"/>
          <w:lang w:val="en-NZ"/>
        </w:rPr>
        <w:t>-</w:t>
      </w:r>
      <w:r w:rsidR="00A43A9A">
        <w:rPr>
          <w:rFonts w:hAnsi="Times New Roman" w:cs="Times New Roman"/>
          <w:lang w:val="en-NZ"/>
        </w:rPr>
        <w:t xml:space="preserve"> approach (Carmona and Ezzamel, 2009)</w:t>
      </w:r>
      <w:r w:rsidR="00D24C80">
        <w:rPr>
          <w:rFonts w:hAnsi="Times New Roman" w:cs="Times New Roman"/>
          <w:lang w:val="en-NZ"/>
        </w:rPr>
        <w:t xml:space="preserve"> (see Table 3)</w:t>
      </w:r>
      <w:r w:rsidR="00A43A9A">
        <w:rPr>
          <w:rFonts w:hAnsi="Times New Roman" w:cs="Times New Roman"/>
          <w:lang w:val="en-NZ"/>
        </w:rPr>
        <w:t xml:space="preserve">. </w:t>
      </w:r>
      <w:r w:rsidR="001C1F4D">
        <w:rPr>
          <w:rFonts w:hAnsi="Times New Roman" w:cs="Times New Roman"/>
          <w:lang w:val="en-NZ"/>
        </w:rPr>
        <w:t>These studies have utilised</w:t>
      </w:r>
      <w:r w:rsidR="00A43A9A">
        <w:rPr>
          <w:rFonts w:hAnsi="Times New Roman" w:cs="Times New Roman"/>
          <w:lang w:val="en-NZ"/>
        </w:rPr>
        <w:t xml:space="preserve"> primary and secondary data, </w:t>
      </w:r>
      <w:r w:rsidR="001C1F4D">
        <w:rPr>
          <w:rFonts w:hAnsi="Times New Roman" w:cs="Times New Roman"/>
          <w:lang w:val="en-NZ"/>
        </w:rPr>
        <w:t>analysing</w:t>
      </w:r>
      <w:r w:rsidR="000D1A57" w:rsidRPr="002925AE">
        <w:rPr>
          <w:rFonts w:hAnsi="Times New Roman" w:cs="Times New Roman"/>
          <w:lang w:val="en-NZ"/>
        </w:rPr>
        <w:t xml:space="preserve"> early attempts at accounting (for offerings) to the need to account for donations and to calculate religious tithes and levies. These antecedents </w:t>
      </w:r>
      <w:r w:rsidR="0065477E">
        <w:rPr>
          <w:rFonts w:hAnsi="Times New Roman" w:cs="Times New Roman"/>
          <w:lang w:val="en-NZ"/>
        </w:rPr>
        <w:t>provide evidence</w:t>
      </w:r>
      <w:r w:rsidR="000D1A57" w:rsidRPr="002925AE">
        <w:rPr>
          <w:rFonts w:hAnsi="Times New Roman" w:cs="Times New Roman"/>
          <w:lang w:val="en-NZ"/>
        </w:rPr>
        <w:t xml:space="preserve"> that the development of accounting facilitated institutional development, from management accounting for production and efficiency (including internal controls), to </w:t>
      </w:r>
      <w:r w:rsidR="001A2CDB">
        <w:rPr>
          <w:rFonts w:hAnsi="Times New Roman" w:cs="Times New Roman"/>
          <w:lang w:val="en-NZ"/>
        </w:rPr>
        <w:t>utilising</w:t>
      </w:r>
      <w:r w:rsidR="001A2CDB" w:rsidRPr="002925AE">
        <w:rPr>
          <w:rFonts w:hAnsi="Times New Roman" w:cs="Times New Roman"/>
          <w:lang w:val="en-NZ"/>
        </w:rPr>
        <w:t xml:space="preserve"> double-entry bookkeeping </w:t>
      </w:r>
      <w:r w:rsidR="001A2CDB">
        <w:rPr>
          <w:rFonts w:hAnsi="Times New Roman" w:cs="Times New Roman"/>
          <w:lang w:val="en-NZ"/>
        </w:rPr>
        <w:t xml:space="preserve">to undertake </w:t>
      </w:r>
      <w:r w:rsidR="000D1A57" w:rsidRPr="002925AE">
        <w:rPr>
          <w:rFonts w:hAnsi="Times New Roman" w:cs="Times New Roman"/>
          <w:lang w:val="en-NZ"/>
        </w:rPr>
        <w:t xml:space="preserve">financial management of increasingly complex institutions with extensive resources. </w:t>
      </w:r>
      <w:r w:rsidR="00A43A9A">
        <w:rPr>
          <w:rFonts w:hAnsi="Times New Roman" w:cs="Times New Roman"/>
          <w:lang w:val="en-NZ"/>
        </w:rPr>
        <w:t xml:space="preserve">Generally, accounting </w:t>
      </w:r>
      <w:r w:rsidR="00D24C80">
        <w:rPr>
          <w:rFonts w:hAnsi="Times New Roman" w:cs="Times New Roman"/>
          <w:lang w:val="en-NZ"/>
        </w:rPr>
        <w:t>was</w:t>
      </w:r>
      <w:r w:rsidR="00A43A9A">
        <w:rPr>
          <w:rFonts w:hAnsi="Times New Roman" w:cs="Times New Roman"/>
          <w:lang w:val="en-NZ"/>
        </w:rPr>
        <w:t xml:space="preserve"> introduced or developed and evolved within these institutions</w:t>
      </w:r>
      <w:r w:rsidR="00D24C80">
        <w:rPr>
          <w:rFonts w:hAnsi="Times New Roman" w:cs="Times New Roman"/>
          <w:lang w:val="en-NZ"/>
        </w:rPr>
        <w:t>,</w:t>
      </w:r>
      <w:r w:rsidR="00D35B49">
        <w:rPr>
          <w:rFonts w:hAnsi="Times New Roman" w:cs="Times New Roman"/>
          <w:lang w:val="en-NZ"/>
        </w:rPr>
        <w:t xml:space="preserve"> with an </w:t>
      </w:r>
      <w:r w:rsidR="00D24C80">
        <w:rPr>
          <w:rFonts w:hAnsi="Times New Roman" w:cs="Times New Roman"/>
          <w:lang w:val="en-NZ"/>
        </w:rPr>
        <w:t>implicit motivation that</w:t>
      </w:r>
      <w:r w:rsidR="00D35B49">
        <w:rPr>
          <w:rFonts w:hAnsi="Times New Roman" w:cs="Times New Roman"/>
          <w:lang w:val="en-NZ"/>
        </w:rPr>
        <w:t xml:space="preserve"> accounting as an economic discipline</w:t>
      </w:r>
      <w:r w:rsidR="00D24C80">
        <w:rPr>
          <w:rFonts w:hAnsi="Times New Roman" w:cs="Times New Roman"/>
          <w:lang w:val="en-NZ"/>
        </w:rPr>
        <w:t xml:space="preserve"> would bring order and </w:t>
      </w:r>
      <w:r w:rsidR="0065477E">
        <w:rPr>
          <w:rFonts w:hAnsi="Times New Roman" w:cs="Times New Roman"/>
          <w:lang w:val="en-NZ"/>
        </w:rPr>
        <w:t>report on</w:t>
      </w:r>
      <w:r w:rsidR="00D24C80">
        <w:rPr>
          <w:rFonts w:hAnsi="Times New Roman" w:cs="Times New Roman"/>
          <w:lang w:val="en-NZ"/>
        </w:rPr>
        <w:t xml:space="preserve"> the stewardship </w:t>
      </w:r>
      <w:r w:rsidR="0065477E">
        <w:rPr>
          <w:rFonts w:hAnsi="Times New Roman" w:cs="Times New Roman"/>
          <w:lang w:val="en-NZ"/>
        </w:rPr>
        <w:t>of</w:t>
      </w:r>
      <w:r w:rsidR="00D24C80">
        <w:rPr>
          <w:rFonts w:hAnsi="Times New Roman" w:cs="Times New Roman"/>
          <w:lang w:val="en-NZ"/>
        </w:rPr>
        <w:t xml:space="preserve"> donations</w:t>
      </w:r>
      <w:r w:rsidR="00A43A9A">
        <w:rPr>
          <w:rFonts w:hAnsi="Times New Roman" w:cs="Times New Roman"/>
          <w:lang w:val="en-NZ"/>
        </w:rPr>
        <w:t xml:space="preserve">. </w:t>
      </w:r>
    </w:p>
    <w:p w:rsidR="00C2407F" w:rsidRDefault="000D1A57" w:rsidP="00D35B49">
      <w:pPr>
        <w:spacing w:after="120" w:line="360" w:lineRule="auto"/>
        <w:ind w:firstLine="720"/>
        <w:rPr>
          <w:rFonts w:hAnsi="Times New Roman" w:cs="Times New Roman"/>
          <w:lang w:val="en-NZ"/>
        </w:rPr>
      </w:pPr>
      <w:r w:rsidRPr="002925AE">
        <w:rPr>
          <w:rFonts w:hAnsi="Times New Roman" w:cs="Times New Roman"/>
          <w:lang w:val="en-NZ"/>
        </w:rPr>
        <w:t xml:space="preserve">This paper </w:t>
      </w:r>
      <w:r w:rsidR="00A43A9A">
        <w:rPr>
          <w:rFonts w:hAnsi="Times New Roman" w:cs="Times New Roman"/>
          <w:lang w:val="en-NZ"/>
        </w:rPr>
        <w:t xml:space="preserve">also </w:t>
      </w:r>
      <w:r w:rsidRPr="002925AE">
        <w:rPr>
          <w:rFonts w:hAnsi="Times New Roman" w:cs="Times New Roman"/>
          <w:lang w:val="en-NZ"/>
        </w:rPr>
        <w:t>recounts</w:t>
      </w:r>
      <w:r w:rsidR="00F912BA">
        <w:rPr>
          <w:rFonts w:hAnsi="Times New Roman" w:cs="Times New Roman"/>
          <w:lang w:val="en-NZ"/>
        </w:rPr>
        <w:t>,</w:t>
      </w:r>
      <w:r w:rsidRPr="002925AE">
        <w:rPr>
          <w:rFonts w:hAnsi="Times New Roman" w:cs="Times New Roman"/>
          <w:lang w:val="en-NZ"/>
        </w:rPr>
        <w:t xml:space="preserve"> through the lens of the sacred-secular divide, the tension between the mission</w:t>
      </w:r>
      <w:r w:rsidR="00F912BA">
        <w:rPr>
          <w:rFonts w:hAnsi="Times New Roman" w:cs="Times New Roman"/>
          <w:lang w:val="en-NZ"/>
        </w:rPr>
        <w:t>s</w:t>
      </w:r>
      <w:r w:rsidRPr="002925AE">
        <w:rPr>
          <w:rFonts w:hAnsi="Times New Roman" w:cs="Times New Roman"/>
          <w:lang w:val="en-NZ"/>
        </w:rPr>
        <w:t xml:space="preserve"> of religious organisation</w:t>
      </w:r>
      <w:r w:rsidR="00F912BA">
        <w:rPr>
          <w:rFonts w:hAnsi="Times New Roman" w:cs="Times New Roman"/>
          <w:lang w:val="en-NZ"/>
        </w:rPr>
        <w:t>s</w:t>
      </w:r>
      <w:r w:rsidRPr="002925AE">
        <w:rPr>
          <w:rFonts w:hAnsi="Times New Roman" w:cs="Times New Roman"/>
          <w:lang w:val="en-NZ"/>
        </w:rPr>
        <w:t xml:space="preserve">, </w:t>
      </w:r>
      <w:r w:rsidR="00F912BA">
        <w:rPr>
          <w:rFonts w:hAnsi="Times New Roman" w:cs="Times New Roman"/>
          <w:lang w:val="en-NZ"/>
        </w:rPr>
        <w:t>their</w:t>
      </w:r>
      <w:r w:rsidRPr="002925AE">
        <w:rPr>
          <w:rFonts w:hAnsi="Times New Roman" w:cs="Times New Roman"/>
          <w:lang w:val="en-NZ"/>
        </w:rPr>
        <w:t xml:space="preserve"> resources, the control of those, and the actions of stewards who seek to store and shield those resources. </w:t>
      </w:r>
      <w:r w:rsidRPr="002925AE">
        <w:rPr>
          <w:rFonts w:hAnsi="Times New Roman" w:cs="Times New Roman"/>
          <w:caps/>
          <w:lang w:val="en-NZ"/>
        </w:rPr>
        <w:t xml:space="preserve"> </w:t>
      </w:r>
      <w:r w:rsidRPr="002925AE">
        <w:rPr>
          <w:rFonts w:hAnsi="Times New Roman" w:cs="Times New Roman"/>
          <w:lang w:val="en-NZ"/>
        </w:rPr>
        <w:t>Such controls also serve to force the discharge of accountability</w:t>
      </w:r>
      <w:r w:rsidR="00A43A9A">
        <w:rPr>
          <w:rFonts w:hAnsi="Times New Roman" w:cs="Times New Roman"/>
          <w:lang w:val="en-NZ"/>
        </w:rPr>
        <w:t xml:space="preserve"> out to the wider world</w:t>
      </w:r>
      <w:r w:rsidRPr="002925AE">
        <w:rPr>
          <w:rFonts w:hAnsi="Times New Roman" w:cs="Times New Roman"/>
          <w:lang w:val="en-NZ"/>
        </w:rPr>
        <w:t xml:space="preserve">. </w:t>
      </w:r>
    </w:p>
    <w:p w:rsidR="00D24C80" w:rsidRDefault="00D24C80" w:rsidP="00D24C80">
      <w:pPr>
        <w:pStyle w:val="Caption"/>
        <w:rPr>
          <w:lang w:val="en-NZ"/>
        </w:rPr>
      </w:pPr>
      <w:r>
        <w:t>Table 3: Micro-perspective contributions which seek</w:t>
      </w:r>
      <w:r>
        <w:rPr>
          <w:lang w:val="en-NZ"/>
        </w:rPr>
        <w:t xml:space="preserve"> to understand accounting and accountability practices in organisational or personal contexts</w:t>
      </w:r>
    </w:p>
    <w:tbl>
      <w:tblPr>
        <w:tblStyle w:val="TableGrid"/>
        <w:tblW w:w="0" w:type="auto"/>
        <w:tblLook w:val="04A0" w:firstRow="1" w:lastRow="0" w:firstColumn="1" w:lastColumn="0" w:noHBand="0" w:noVBand="1"/>
      </w:tblPr>
      <w:tblGrid>
        <w:gridCol w:w="2763"/>
        <w:gridCol w:w="2763"/>
        <w:gridCol w:w="2764"/>
      </w:tblGrid>
      <w:tr w:rsidR="00D24C80" w:rsidTr="00C92D9F">
        <w:tc>
          <w:tcPr>
            <w:tcW w:w="2763" w:type="dxa"/>
          </w:tcPr>
          <w:p w:rsidR="00D24C80" w:rsidRPr="00D35B49"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right"/>
              <w:rPr>
                <w:rFonts w:hAnsi="Times New Roman" w:cs="Times New Roman"/>
                <w:b/>
                <w:lang w:val="en-NZ"/>
              </w:rPr>
            </w:pPr>
            <w:r>
              <w:rPr>
                <w:rFonts w:hAnsi="Times New Roman" w:cs="Times New Roman"/>
                <w:b/>
                <w:noProof/>
                <w:lang w:val="en-GB" w:eastAsia="en-GB"/>
              </w:rPr>
              <mc:AlternateContent>
                <mc:Choice Requires="wps">
                  <w:drawing>
                    <wp:anchor distT="0" distB="0" distL="114300" distR="114300" simplePos="0" relativeHeight="251663360" behindDoc="0" locked="0" layoutInCell="1" allowOverlap="1" wp14:anchorId="0F796CDF" wp14:editId="40525FE2">
                      <wp:simplePos x="0" y="0"/>
                      <wp:positionH relativeFrom="column">
                        <wp:posOffset>-52706</wp:posOffset>
                      </wp:positionH>
                      <wp:positionV relativeFrom="paragraph">
                        <wp:posOffset>10795</wp:posOffset>
                      </wp:positionV>
                      <wp:extent cx="174307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43075" cy="60960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42FB6E4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5pt,.85pt" to="133.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" strokeweight=".5pt">
                      <v:stroke miterlimit="4" joinstyle="miter"/>
                    </v:line>
                  </w:pict>
                </mc:Fallback>
              </mc:AlternateContent>
            </w:r>
            <w:r w:rsidRPr="00D35B49">
              <w:rPr>
                <w:rFonts w:hAnsi="Times New Roman" w:cs="Times New Roman"/>
                <w:b/>
                <w:lang w:val="en-NZ"/>
              </w:rPr>
              <w:t>Theory</w:t>
            </w:r>
            <w:r>
              <w:rPr>
                <w:rFonts w:hAnsi="Times New Roman" w:cs="Times New Roman"/>
                <w:b/>
                <w:lang w:val="en-NZ"/>
              </w:rPr>
              <w:t xml:space="preserve"> </w:t>
            </w:r>
            <w:r w:rsidRPr="00D35B49">
              <w:rPr>
                <w:rFonts w:hAnsi="Times New Roman" w:cs="Times New Roman"/>
                <w:b/>
                <w:lang w:val="en-NZ"/>
              </w:rPr>
              <w:t>used</w:t>
            </w:r>
            <w:r>
              <w:rPr>
                <w:rFonts w:hAnsi="Times New Roman" w:cs="Times New Roman"/>
                <w:b/>
                <w:lang w:val="en-NZ"/>
              </w:rPr>
              <w:t xml:space="preserve">      </w:t>
            </w:r>
          </w:p>
        </w:tc>
        <w:tc>
          <w:tcPr>
            <w:tcW w:w="2763" w:type="dxa"/>
          </w:tcPr>
          <w:p w:rsidR="00D24C80" w:rsidRPr="00D35B49"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sidRPr="00D35B49">
              <w:rPr>
                <w:rFonts w:hAnsi="Times New Roman" w:cs="Times New Roman"/>
                <w:b/>
                <w:lang w:val="en-NZ"/>
              </w:rPr>
              <w:t>Economic/accounting theory or rationale</w:t>
            </w:r>
          </w:p>
        </w:tc>
        <w:tc>
          <w:tcPr>
            <w:tcW w:w="2764" w:type="dxa"/>
          </w:tcPr>
          <w:p w:rsidR="00D24C80" w:rsidRPr="00D35B49"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sidRPr="00D35B49">
              <w:rPr>
                <w:rFonts w:hAnsi="Times New Roman" w:cs="Times New Roman"/>
                <w:b/>
                <w:lang w:val="en-NZ"/>
              </w:rPr>
              <w:t>Other theories to critique narrative</w:t>
            </w:r>
          </w:p>
        </w:tc>
      </w:tr>
      <w:tr w:rsidR="00D24C80" w:rsidTr="00C92D9F">
        <w:tc>
          <w:tcPr>
            <w:tcW w:w="2763" w:type="dxa"/>
          </w:tcPr>
          <w:p w:rsidR="00D24C80" w:rsidRPr="00D35B49"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Pr>
                <w:rFonts w:hAnsi="Times New Roman" w:cs="Times New Roman"/>
                <w:b/>
                <w:lang w:val="en-NZ"/>
              </w:rPr>
              <w:t>No. of contributions</w:t>
            </w:r>
          </w:p>
        </w:tc>
        <w:tc>
          <w:tcPr>
            <w:tcW w:w="2763" w:type="dxa"/>
          </w:tcPr>
          <w:p w:rsidR="00D24C80"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lang w:val="en-NZ"/>
              </w:rPr>
            </w:pPr>
            <w:r>
              <w:rPr>
                <w:rFonts w:hAnsi="Times New Roman" w:cs="Times New Roman"/>
                <w:lang w:val="en-NZ"/>
              </w:rPr>
              <w:t>26/82 (32 per cent)</w:t>
            </w:r>
          </w:p>
        </w:tc>
        <w:tc>
          <w:tcPr>
            <w:tcW w:w="2764" w:type="dxa"/>
          </w:tcPr>
          <w:p w:rsidR="00D24C80" w:rsidRDefault="00D24C80" w:rsidP="00C92D9F">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lang w:val="en-NZ"/>
              </w:rPr>
            </w:pPr>
            <w:r>
              <w:rPr>
                <w:rFonts w:hAnsi="Times New Roman" w:cs="Times New Roman"/>
                <w:lang w:val="en-NZ"/>
              </w:rPr>
              <w:t>30/82 (36 per cent)</w:t>
            </w:r>
          </w:p>
        </w:tc>
      </w:tr>
    </w:tbl>
    <w:p w:rsidR="00D24C80" w:rsidRDefault="00D24C80" w:rsidP="00D24C80">
      <w:pPr>
        <w:spacing w:after="120" w:line="360" w:lineRule="auto"/>
        <w:ind w:firstLine="720"/>
        <w:rPr>
          <w:rFonts w:hAnsi="Times New Roman" w:cs="Times New Roman"/>
          <w:lang w:val="en-NZ"/>
        </w:rPr>
      </w:pPr>
    </w:p>
    <w:p w:rsidR="00C2407F" w:rsidRDefault="00C2407F" w:rsidP="00D24C80">
      <w:pPr>
        <w:spacing w:after="120" w:line="360" w:lineRule="auto"/>
        <w:rPr>
          <w:rFonts w:hAnsi="Times New Roman" w:cs="Times New Roman"/>
          <w:lang w:val="en-NZ"/>
        </w:rPr>
      </w:pPr>
      <w:r>
        <w:rPr>
          <w:rFonts w:hAnsi="Times New Roman" w:cs="Times New Roman"/>
          <w:lang w:val="en-NZ"/>
        </w:rPr>
        <w:t>It can be seen from Table 3 (and Appendix Three), that</w:t>
      </w:r>
      <w:r w:rsidR="00743C59">
        <w:rPr>
          <w:rFonts w:hAnsi="Times New Roman" w:cs="Times New Roman"/>
          <w:lang w:val="en-NZ"/>
        </w:rPr>
        <w:t xml:space="preserve"> </w:t>
      </w:r>
      <w:r w:rsidR="0065477E">
        <w:rPr>
          <w:rFonts w:hAnsi="Times New Roman" w:cs="Times New Roman"/>
          <w:lang w:val="en-NZ"/>
        </w:rPr>
        <w:t xml:space="preserve">56 or more </w:t>
      </w:r>
      <w:r w:rsidR="00743C59">
        <w:rPr>
          <w:rFonts w:hAnsi="Times New Roman" w:cs="Times New Roman"/>
          <w:lang w:val="en-NZ"/>
        </w:rPr>
        <w:t xml:space="preserve">than two-thirds </w:t>
      </w:r>
      <w:r w:rsidR="0065477E">
        <w:rPr>
          <w:rFonts w:hAnsi="Times New Roman" w:cs="Times New Roman"/>
          <w:lang w:val="en-NZ"/>
        </w:rPr>
        <w:t xml:space="preserve">(68 per cent) </w:t>
      </w:r>
      <w:r w:rsidR="00743C59">
        <w:rPr>
          <w:rFonts w:hAnsi="Times New Roman" w:cs="Times New Roman"/>
          <w:lang w:val="en-NZ"/>
        </w:rPr>
        <w:t xml:space="preserve">of the studies on accounting and religion </w:t>
      </w:r>
      <w:r w:rsidR="0065477E">
        <w:rPr>
          <w:rFonts w:hAnsi="Times New Roman" w:cs="Times New Roman"/>
          <w:lang w:val="en-NZ"/>
        </w:rPr>
        <w:t>(</w:t>
      </w:r>
      <w:r w:rsidR="00743C59">
        <w:rPr>
          <w:rFonts w:hAnsi="Times New Roman" w:cs="Times New Roman"/>
          <w:lang w:val="en-NZ"/>
        </w:rPr>
        <w:t>that are not reviews</w:t>
      </w:r>
      <w:r w:rsidR="0065477E">
        <w:rPr>
          <w:rFonts w:hAnsi="Times New Roman" w:cs="Times New Roman"/>
          <w:lang w:val="en-NZ"/>
        </w:rPr>
        <w:t>)</w:t>
      </w:r>
      <w:r w:rsidR="00743C59">
        <w:rPr>
          <w:rFonts w:hAnsi="Times New Roman" w:cs="Times New Roman"/>
          <w:lang w:val="en-NZ"/>
        </w:rPr>
        <w:t xml:space="preserve"> have analysed accounting and accountability practices within religious organisations and as practised by adherents to religious faiths. A significant minority (26</w:t>
      </w:r>
      <w:r w:rsidR="0065477E">
        <w:rPr>
          <w:rFonts w:hAnsi="Times New Roman" w:cs="Times New Roman"/>
          <w:lang w:val="en-NZ"/>
        </w:rPr>
        <w:t>) -</w:t>
      </w:r>
      <w:r w:rsidR="00743C59">
        <w:rPr>
          <w:rFonts w:hAnsi="Times New Roman" w:cs="Times New Roman"/>
          <w:lang w:val="en-NZ"/>
        </w:rPr>
        <w:t xml:space="preserve"> 32 per cent</w:t>
      </w:r>
      <w:r w:rsidR="0065477E">
        <w:rPr>
          <w:rFonts w:hAnsi="Times New Roman" w:cs="Times New Roman"/>
          <w:lang w:val="en-NZ"/>
        </w:rPr>
        <w:t xml:space="preserve"> -</w:t>
      </w:r>
      <w:r w:rsidR="00743C59">
        <w:rPr>
          <w:rFonts w:hAnsi="Times New Roman" w:cs="Times New Roman"/>
          <w:lang w:val="en-NZ"/>
        </w:rPr>
        <w:t xml:space="preserve"> are largely narrative, but use an underlying rationale that accounting provides order and control (for example, Dobie, 2008a, b). The remaining 30 (36 percent) use a number of other theories to critique </w:t>
      </w:r>
      <w:r w:rsidR="00D24C80">
        <w:rPr>
          <w:rFonts w:hAnsi="Times New Roman" w:cs="Times New Roman"/>
          <w:lang w:val="en-NZ"/>
        </w:rPr>
        <w:t xml:space="preserve">accounting’s role in the organisation or its use by individuals. In addition to the sacred-secular divide and accountability, these include </w:t>
      </w:r>
      <w:r w:rsidR="002E6C73">
        <w:rPr>
          <w:rFonts w:hAnsi="Times New Roman" w:cs="Times New Roman"/>
          <w:lang w:val="en-NZ"/>
        </w:rPr>
        <w:t xml:space="preserve">storing and shielding of resources (e.g. Lightbody 2000, 2003), </w:t>
      </w:r>
      <w:r w:rsidR="00D24C80">
        <w:rPr>
          <w:rFonts w:hAnsi="Times New Roman" w:cs="Times New Roman"/>
          <w:lang w:val="en-NZ"/>
        </w:rPr>
        <w:t xml:space="preserve">seeking legitimacy (e.g. Irvine, 2002), </w:t>
      </w:r>
      <w:r w:rsidR="002E6C73">
        <w:rPr>
          <w:rFonts w:hAnsi="Times New Roman" w:cs="Times New Roman"/>
          <w:lang w:val="en-NZ"/>
        </w:rPr>
        <w:t>reactive planning (Parker 2001, 2002), and the operation of power (e.g. Riccaboni et al., 2006; Leardini and Rossi, 2013; Bigoni and Funnell, 2015).</w:t>
      </w:r>
    </w:p>
    <w:p w:rsidR="00366B6D" w:rsidRPr="00FF6EB8" w:rsidRDefault="00A43A9A" w:rsidP="002A6718">
      <w:pPr>
        <w:spacing w:after="120" w:line="360" w:lineRule="auto"/>
        <w:ind w:firstLine="720"/>
        <w:rPr>
          <w:rFonts w:hAnsi="Times New Roman" w:cs="Times New Roman"/>
          <w:lang w:val="en-NZ"/>
        </w:rPr>
      </w:pPr>
      <w:r>
        <w:rPr>
          <w:rFonts w:hAnsi="Times New Roman" w:cs="Times New Roman"/>
          <w:lang w:val="en-NZ"/>
        </w:rPr>
        <w:t>I</w:t>
      </w:r>
      <w:r w:rsidR="002E6C73">
        <w:rPr>
          <w:rFonts w:hAnsi="Times New Roman" w:cs="Times New Roman"/>
          <w:lang w:val="en-NZ"/>
        </w:rPr>
        <w:t xml:space="preserve">n respect of </w:t>
      </w:r>
      <w:r>
        <w:rPr>
          <w:rFonts w:hAnsi="Times New Roman" w:cs="Times New Roman"/>
          <w:lang w:val="en-NZ"/>
        </w:rPr>
        <w:t>macro</w:t>
      </w:r>
      <w:r w:rsidR="002E6C73">
        <w:rPr>
          <w:rFonts w:hAnsi="Times New Roman" w:cs="Times New Roman"/>
          <w:lang w:val="en-NZ"/>
        </w:rPr>
        <w:t>-</w:t>
      </w:r>
      <w:r>
        <w:rPr>
          <w:rFonts w:hAnsi="Times New Roman" w:cs="Times New Roman"/>
          <w:lang w:val="en-NZ"/>
        </w:rPr>
        <w:t xml:space="preserve"> perspectives (Carmona and Ezzamel, 2009), </w:t>
      </w:r>
      <w:r w:rsidR="00743C59">
        <w:rPr>
          <w:rFonts w:hAnsi="Times New Roman" w:cs="Times New Roman"/>
          <w:lang w:val="en-NZ"/>
        </w:rPr>
        <w:t xml:space="preserve">the contributions have spanned two types. These are </w:t>
      </w:r>
      <w:r w:rsidR="0065477E">
        <w:rPr>
          <w:rFonts w:hAnsi="Times New Roman" w:cs="Times New Roman"/>
          <w:lang w:val="en-NZ"/>
        </w:rPr>
        <w:t>examinations</w:t>
      </w:r>
      <w:r w:rsidR="00743C59">
        <w:rPr>
          <w:rFonts w:hAnsi="Times New Roman" w:cs="Times New Roman"/>
          <w:lang w:val="en-NZ"/>
        </w:rPr>
        <w:t xml:space="preserve"> of practices or beliefs that influence accounting practise and/or theory</w:t>
      </w:r>
      <w:r w:rsidR="0065477E">
        <w:rPr>
          <w:rFonts w:hAnsi="Times New Roman" w:cs="Times New Roman"/>
          <w:lang w:val="en-NZ"/>
        </w:rPr>
        <w:t>;</w:t>
      </w:r>
      <w:r w:rsidR="00743C59">
        <w:rPr>
          <w:rFonts w:hAnsi="Times New Roman" w:cs="Times New Roman"/>
          <w:lang w:val="en-NZ"/>
        </w:rPr>
        <w:t xml:space="preserve"> </w:t>
      </w:r>
      <w:r>
        <w:rPr>
          <w:rFonts w:hAnsi="Times New Roman" w:cs="Times New Roman"/>
          <w:lang w:val="en-NZ"/>
        </w:rPr>
        <w:t>that is, the impact of religion on society and the development of accounting more generally</w:t>
      </w:r>
      <w:r w:rsidR="00F37792">
        <w:rPr>
          <w:rFonts w:hAnsi="Times New Roman" w:cs="Times New Roman"/>
          <w:lang w:val="en-NZ"/>
        </w:rPr>
        <w:t>. In</w:t>
      </w:r>
      <w:r w:rsidR="00743C59">
        <w:rPr>
          <w:rFonts w:hAnsi="Times New Roman" w:cs="Times New Roman"/>
          <w:lang w:val="en-NZ"/>
        </w:rPr>
        <w:t xml:space="preserve"> particular, 18 contributions (22 per cent) </w:t>
      </w:r>
      <w:r w:rsidR="00F37792">
        <w:rPr>
          <w:rFonts w:hAnsi="Times New Roman" w:cs="Times New Roman"/>
          <w:lang w:val="en-NZ"/>
        </w:rPr>
        <w:t>have analysed the effect of religious beliefs</w:t>
      </w:r>
      <w:r w:rsidR="00FF6EB8">
        <w:rPr>
          <w:rFonts w:hAnsi="Times New Roman" w:cs="Times New Roman"/>
          <w:lang w:val="en-NZ"/>
        </w:rPr>
        <w:t xml:space="preserve"> and funding</w:t>
      </w:r>
      <w:r w:rsidR="00F37792">
        <w:rPr>
          <w:rFonts w:hAnsi="Times New Roman" w:cs="Times New Roman"/>
          <w:lang w:val="en-NZ"/>
        </w:rPr>
        <w:t xml:space="preserve"> on such diverse topics as ethics (</w:t>
      </w:r>
      <w:r w:rsidR="002E6C73">
        <w:rPr>
          <w:rFonts w:hAnsi="Times New Roman" w:cs="Times New Roman"/>
          <w:lang w:val="en-NZ"/>
        </w:rPr>
        <w:t xml:space="preserve">e.g. Ornatowski, 1996; </w:t>
      </w:r>
      <w:r w:rsidR="00FF6EB8">
        <w:rPr>
          <w:rFonts w:hAnsi="Times New Roman" w:cs="Times New Roman"/>
          <w:lang w:val="en-NZ"/>
        </w:rPr>
        <w:t>Knouse et al., 2007</w:t>
      </w:r>
      <w:r w:rsidR="002E6C73">
        <w:rPr>
          <w:rFonts w:hAnsi="Times New Roman" w:cs="Times New Roman"/>
          <w:lang w:val="en-NZ"/>
        </w:rPr>
        <w:t>), concepts on the use of money, including usury (e.g. Visser and McIntosh, 1998; Jafri and Margolis, 1999</w:t>
      </w:r>
      <w:r w:rsidR="00FF6EB8">
        <w:rPr>
          <w:rFonts w:hAnsi="Times New Roman" w:cs="Times New Roman"/>
          <w:lang w:val="en-NZ"/>
        </w:rPr>
        <w:t>; Lister, 2006</w:t>
      </w:r>
      <w:r w:rsidR="002E6C73">
        <w:rPr>
          <w:rFonts w:hAnsi="Times New Roman" w:cs="Times New Roman"/>
          <w:lang w:val="en-NZ"/>
        </w:rPr>
        <w:t>), the rise of capitalism (e.g. Carruthers and Espeland, 1991</w:t>
      </w:r>
      <w:r w:rsidR="00FF6EB8">
        <w:rPr>
          <w:rFonts w:hAnsi="Times New Roman" w:cs="Times New Roman"/>
          <w:lang w:val="en-NZ"/>
        </w:rPr>
        <w:t>;</w:t>
      </w:r>
      <w:r w:rsidR="002E6C73">
        <w:rPr>
          <w:rFonts w:hAnsi="Times New Roman" w:cs="Times New Roman"/>
          <w:lang w:val="en-NZ"/>
        </w:rPr>
        <w:t xml:space="preserve"> Tinker, 2004) and</w:t>
      </w:r>
      <w:r w:rsidR="00FF6EB8">
        <w:rPr>
          <w:rFonts w:hAnsi="Times New Roman" w:cs="Times New Roman"/>
          <w:lang w:val="en-NZ"/>
        </w:rPr>
        <w:t xml:space="preserve"> accounting development (e.g. G</w:t>
      </w:r>
      <w:r w:rsidR="00C876C2">
        <w:rPr>
          <w:rFonts w:hAnsi="Times New Roman" w:cs="Times New Roman"/>
          <w:lang w:val="en-NZ"/>
        </w:rPr>
        <w:t>ao</w:t>
      </w:r>
      <w:r w:rsidR="002E6C73">
        <w:rPr>
          <w:rFonts w:hAnsi="Times New Roman" w:cs="Times New Roman"/>
          <w:lang w:val="en-NZ"/>
        </w:rPr>
        <w:t xml:space="preserve"> and Handley-Schachler, 2003</w:t>
      </w:r>
      <w:r w:rsidR="00FF6EB8">
        <w:rPr>
          <w:rFonts w:hAnsi="Times New Roman" w:cs="Times New Roman"/>
          <w:lang w:val="en-NZ"/>
        </w:rPr>
        <w:t>;</w:t>
      </w:r>
      <w:r w:rsidR="002E6C73">
        <w:rPr>
          <w:rFonts w:hAnsi="Times New Roman" w:cs="Times New Roman"/>
          <w:lang w:val="en-NZ"/>
        </w:rPr>
        <w:t xml:space="preserve"> </w:t>
      </w:r>
      <w:r w:rsidR="00FF6EB8">
        <w:rPr>
          <w:rFonts w:hAnsi="Times New Roman" w:cs="Times New Roman"/>
          <w:lang w:val="en-NZ"/>
        </w:rPr>
        <w:t>Kuasirikin and Constable, 2010; Hong, 2014</w:t>
      </w:r>
      <w:r w:rsidR="002E6C73">
        <w:rPr>
          <w:rFonts w:hAnsi="Times New Roman" w:cs="Times New Roman"/>
          <w:lang w:val="en-NZ"/>
        </w:rPr>
        <w:t>)</w:t>
      </w:r>
      <w:r w:rsidR="0065477E">
        <w:rPr>
          <w:rFonts w:hAnsi="Times New Roman" w:cs="Times New Roman"/>
          <w:lang w:val="en-NZ"/>
        </w:rPr>
        <w:t xml:space="preserve"> (see Table 4)</w:t>
      </w:r>
      <w:r w:rsidR="00FF6EB8">
        <w:rPr>
          <w:rFonts w:hAnsi="Times New Roman" w:cs="Times New Roman"/>
          <w:lang w:val="en-NZ"/>
        </w:rPr>
        <w:t>.</w:t>
      </w:r>
      <w:r w:rsidR="00743C59">
        <w:rPr>
          <w:rFonts w:hAnsi="Times New Roman" w:cs="Times New Roman"/>
          <w:lang w:val="en-NZ"/>
        </w:rPr>
        <w:t xml:space="preserve"> </w:t>
      </w:r>
      <w:r w:rsidR="00C876C2">
        <w:rPr>
          <w:rFonts w:hAnsi="Times New Roman" w:cs="Times New Roman"/>
          <w:lang w:val="en-NZ"/>
        </w:rPr>
        <w:t>Contributions taking a</w:t>
      </w:r>
      <w:r w:rsidRPr="00FF6EB8">
        <w:rPr>
          <w:rFonts w:hAnsi="Times New Roman" w:cs="Times New Roman"/>
          <w:lang w:val="en-NZ"/>
        </w:rPr>
        <w:t xml:space="preserve"> macro approach </w:t>
      </w:r>
      <w:r w:rsidR="00F37792" w:rsidRPr="00FF6EB8">
        <w:rPr>
          <w:rFonts w:hAnsi="Times New Roman" w:cs="Times New Roman"/>
          <w:lang w:val="en-NZ"/>
        </w:rPr>
        <w:t xml:space="preserve">also </w:t>
      </w:r>
      <w:r w:rsidRPr="00FF6EB8">
        <w:rPr>
          <w:rFonts w:hAnsi="Times New Roman" w:cs="Times New Roman"/>
          <w:lang w:val="en-NZ"/>
        </w:rPr>
        <w:t xml:space="preserve">consider how religion impacted </w:t>
      </w:r>
      <w:r w:rsidR="000D1A57" w:rsidRPr="00FF6EB8">
        <w:rPr>
          <w:rFonts w:hAnsi="Times New Roman" w:cs="Times New Roman"/>
          <w:lang w:val="en-NZ"/>
        </w:rPr>
        <w:t>the manner in which individuals</w:t>
      </w:r>
      <w:r w:rsidRPr="00FF6EB8">
        <w:rPr>
          <w:rFonts w:hAnsi="Times New Roman" w:cs="Times New Roman"/>
          <w:lang w:val="en-NZ"/>
        </w:rPr>
        <w:t xml:space="preserve"> </w:t>
      </w:r>
      <w:r w:rsidR="000D1A57" w:rsidRPr="00FF6EB8">
        <w:rPr>
          <w:rFonts w:hAnsi="Times New Roman" w:cs="Times New Roman"/>
          <w:lang w:val="en-NZ"/>
        </w:rPr>
        <w:t>used accounting to discharge their faith obligations and to run</w:t>
      </w:r>
      <w:r w:rsidR="002A6718" w:rsidRPr="00FF6EB8">
        <w:rPr>
          <w:rFonts w:hAnsi="Times New Roman" w:cs="Times New Roman"/>
          <w:lang w:val="en-NZ"/>
        </w:rPr>
        <w:t xml:space="preserve"> their business more ethically</w:t>
      </w:r>
      <w:r w:rsidR="0065477E">
        <w:rPr>
          <w:rFonts w:hAnsi="Times New Roman" w:cs="Times New Roman"/>
          <w:lang w:val="en-NZ"/>
        </w:rPr>
        <w:t xml:space="preserve"> (e.g. Fu</w:t>
      </w:r>
      <w:r w:rsidR="00FF6EB8">
        <w:rPr>
          <w:rFonts w:hAnsi="Times New Roman" w:cs="Times New Roman"/>
          <w:lang w:val="en-NZ"/>
        </w:rPr>
        <w:t>nnell and Williams, 2014; Parker, 2014)</w:t>
      </w:r>
      <w:r w:rsidR="002A6718" w:rsidRPr="00FF6EB8">
        <w:rPr>
          <w:rFonts w:hAnsi="Times New Roman" w:cs="Times New Roman"/>
          <w:lang w:val="en-NZ"/>
        </w:rPr>
        <w:t>.</w:t>
      </w:r>
    </w:p>
    <w:p w:rsidR="00743C59" w:rsidRDefault="00743C59" w:rsidP="00743C59">
      <w:pPr>
        <w:pStyle w:val="Caption"/>
        <w:rPr>
          <w:lang w:val="en-NZ"/>
        </w:rPr>
      </w:pPr>
      <w:r>
        <w:t>Table 4: Macro-perspective contributions analysing the influence of religion on the practice or theory of accounting</w:t>
      </w:r>
    </w:p>
    <w:tbl>
      <w:tblPr>
        <w:tblStyle w:val="TableGrid"/>
        <w:tblW w:w="0" w:type="auto"/>
        <w:tblLook w:val="04A0" w:firstRow="1" w:lastRow="0" w:firstColumn="1" w:lastColumn="0" w:noHBand="0" w:noVBand="1"/>
      </w:tblPr>
      <w:tblGrid>
        <w:gridCol w:w="2263"/>
        <w:gridCol w:w="2835"/>
        <w:gridCol w:w="3192"/>
      </w:tblGrid>
      <w:tr w:rsidR="00743C59" w:rsidTr="000A15E4">
        <w:tc>
          <w:tcPr>
            <w:tcW w:w="2263" w:type="dxa"/>
          </w:tcPr>
          <w:p w:rsidR="00743C5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right"/>
              <w:rPr>
                <w:rFonts w:hAnsi="Times New Roman" w:cs="Times New Roman"/>
                <w:b/>
                <w:lang w:val="en-NZ"/>
              </w:rPr>
            </w:pPr>
            <w:r>
              <w:rPr>
                <w:rFonts w:hAnsi="Times New Roman" w:cs="Times New Roman"/>
                <w:b/>
                <w:noProof/>
                <w:lang w:val="en-GB" w:eastAsia="en-GB"/>
              </w:rPr>
              <mc:AlternateContent>
                <mc:Choice Requires="wps">
                  <w:drawing>
                    <wp:anchor distT="0" distB="0" distL="114300" distR="114300" simplePos="0" relativeHeight="251661312" behindDoc="0" locked="0" layoutInCell="1" allowOverlap="1" wp14:anchorId="38B7E5E6" wp14:editId="01FB743D">
                      <wp:simplePos x="0" y="0"/>
                      <wp:positionH relativeFrom="column">
                        <wp:posOffset>-71754</wp:posOffset>
                      </wp:positionH>
                      <wp:positionV relativeFrom="paragraph">
                        <wp:posOffset>9525</wp:posOffset>
                      </wp:positionV>
                      <wp:extent cx="1409700" cy="8286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409700" cy="828675"/>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DFA950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5pt" to="10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" strokeweight=".5pt">
                      <v:stroke miterlimit="4" joinstyle="miter"/>
                    </v:line>
                  </w:pict>
                </mc:Fallback>
              </mc:AlternateContent>
            </w:r>
            <w:r w:rsidRPr="00D35B49">
              <w:rPr>
                <w:rFonts w:hAnsi="Times New Roman" w:cs="Times New Roman"/>
                <w:b/>
                <w:lang w:val="en-NZ"/>
              </w:rPr>
              <w:t>Impact</w:t>
            </w:r>
            <w:r>
              <w:rPr>
                <w:rFonts w:hAnsi="Times New Roman" w:cs="Times New Roman"/>
                <w:b/>
                <w:lang w:val="en-NZ"/>
              </w:rPr>
              <w:t xml:space="preserve"> of </w:t>
            </w:r>
          </w:p>
          <w:p w:rsidR="00743C59" w:rsidRPr="00D35B4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right"/>
              <w:rPr>
                <w:rFonts w:hAnsi="Times New Roman" w:cs="Times New Roman"/>
                <w:b/>
                <w:lang w:val="en-NZ"/>
              </w:rPr>
            </w:pPr>
            <w:r>
              <w:rPr>
                <w:rFonts w:hAnsi="Times New Roman" w:cs="Times New Roman"/>
                <w:b/>
                <w:lang w:val="en-NZ"/>
              </w:rPr>
              <w:t>religion</w:t>
            </w:r>
          </w:p>
        </w:tc>
        <w:tc>
          <w:tcPr>
            <w:tcW w:w="2835" w:type="dxa"/>
          </w:tcPr>
          <w:p w:rsidR="00743C59" w:rsidRPr="00D35B4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sidRPr="00D35B49">
              <w:rPr>
                <w:rFonts w:hAnsi="Times New Roman" w:cs="Times New Roman"/>
                <w:b/>
                <w:lang w:val="en-NZ"/>
              </w:rPr>
              <w:t>Practices/beliefs have influenced accounting practise/ theory</w:t>
            </w:r>
          </w:p>
        </w:tc>
        <w:tc>
          <w:tcPr>
            <w:tcW w:w="3192" w:type="dxa"/>
          </w:tcPr>
          <w:p w:rsidR="00743C59" w:rsidRPr="00D35B4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sidRPr="00D35B49">
              <w:rPr>
                <w:rFonts w:hAnsi="Times New Roman" w:cs="Times New Roman"/>
                <w:b/>
                <w:lang w:val="en-NZ"/>
              </w:rPr>
              <w:t xml:space="preserve">Practices/beliefs </w:t>
            </w:r>
            <w:r>
              <w:rPr>
                <w:rFonts w:hAnsi="Times New Roman" w:cs="Times New Roman"/>
                <w:b/>
                <w:lang w:val="en-NZ"/>
              </w:rPr>
              <w:t>with potential to</w:t>
            </w:r>
            <w:r w:rsidRPr="00D35B49">
              <w:rPr>
                <w:rFonts w:hAnsi="Times New Roman" w:cs="Times New Roman"/>
                <w:b/>
                <w:lang w:val="en-NZ"/>
              </w:rPr>
              <w:t xml:space="preserve"> influence accounting practise/ theory</w:t>
            </w:r>
          </w:p>
        </w:tc>
      </w:tr>
      <w:tr w:rsidR="00743C59" w:rsidTr="000A15E4">
        <w:tc>
          <w:tcPr>
            <w:tcW w:w="2263" w:type="dxa"/>
          </w:tcPr>
          <w:p w:rsidR="00743C59" w:rsidRPr="00D35B4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b/>
                <w:lang w:val="en-NZ"/>
              </w:rPr>
            </w:pPr>
            <w:r>
              <w:rPr>
                <w:rFonts w:hAnsi="Times New Roman" w:cs="Times New Roman"/>
                <w:b/>
                <w:lang w:val="en-NZ"/>
              </w:rPr>
              <w:t>No. of contributions</w:t>
            </w:r>
          </w:p>
        </w:tc>
        <w:tc>
          <w:tcPr>
            <w:tcW w:w="2835" w:type="dxa"/>
          </w:tcPr>
          <w:p w:rsidR="00743C5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lang w:val="en-NZ"/>
              </w:rPr>
            </w:pPr>
            <w:r>
              <w:rPr>
                <w:rFonts w:hAnsi="Times New Roman" w:cs="Times New Roman"/>
                <w:lang w:val="en-NZ"/>
              </w:rPr>
              <w:t>18/82 (22 per cent)</w:t>
            </w:r>
          </w:p>
        </w:tc>
        <w:tc>
          <w:tcPr>
            <w:tcW w:w="3192" w:type="dxa"/>
          </w:tcPr>
          <w:p w:rsidR="00743C59" w:rsidRDefault="00743C59" w:rsidP="000A15E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rPr>
                <w:rFonts w:hAnsi="Times New Roman" w:cs="Times New Roman"/>
                <w:lang w:val="en-NZ"/>
              </w:rPr>
            </w:pPr>
            <w:r>
              <w:rPr>
                <w:rFonts w:hAnsi="Times New Roman" w:cs="Times New Roman"/>
                <w:lang w:val="en-NZ"/>
              </w:rPr>
              <w:t>8/82 (10 per cent)</w:t>
            </w:r>
          </w:p>
        </w:tc>
      </w:tr>
    </w:tbl>
    <w:p w:rsidR="00743C59" w:rsidRDefault="00743C59" w:rsidP="00743C59">
      <w:pPr>
        <w:spacing w:after="120" w:line="360" w:lineRule="auto"/>
        <w:ind w:firstLine="720"/>
        <w:rPr>
          <w:rFonts w:hAnsi="Times New Roman" w:cs="Times New Roman"/>
          <w:lang w:val="en-NZ"/>
        </w:rPr>
      </w:pPr>
    </w:p>
    <w:p w:rsidR="00854741" w:rsidRDefault="0065477E" w:rsidP="00C876C2">
      <w:pPr>
        <w:spacing w:after="120" w:line="360" w:lineRule="auto"/>
        <w:rPr>
          <w:rFonts w:hAnsi="Times New Roman" w:cs="Times New Roman"/>
          <w:lang w:val="en-NZ"/>
        </w:rPr>
      </w:pPr>
      <w:r w:rsidRPr="00FF6EB8">
        <w:rPr>
          <w:rFonts w:hAnsi="Times New Roman" w:cs="Times New Roman"/>
          <w:lang w:val="en-NZ"/>
        </w:rPr>
        <w:t>In addition, as</w:t>
      </w:r>
      <w:r>
        <w:rPr>
          <w:rFonts w:hAnsi="Times New Roman" w:cs="Times New Roman"/>
          <w:lang w:val="en-NZ"/>
        </w:rPr>
        <w:t xml:space="preserve"> can be seen from Table 4, </w:t>
      </w:r>
      <w:r w:rsidR="00C876C2">
        <w:rPr>
          <w:rFonts w:hAnsi="Times New Roman" w:cs="Times New Roman"/>
          <w:lang w:val="en-NZ"/>
        </w:rPr>
        <w:t>ten per cent of p</w:t>
      </w:r>
      <w:r>
        <w:rPr>
          <w:rFonts w:hAnsi="Times New Roman" w:cs="Times New Roman"/>
          <w:lang w:val="en-NZ"/>
        </w:rPr>
        <w:t>apers (8</w:t>
      </w:r>
      <w:r w:rsidR="00C876C2">
        <w:rPr>
          <w:rFonts w:hAnsi="Times New Roman" w:cs="Times New Roman"/>
          <w:lang w:val="en-NZ"/>
        </w:rPr>
        <w:t>)</w:t>
      </w:r>
      <w:r>
        <w:rPr>
          <w:rFonts w:hAnsi="Times New Roman" w:cs="Times New Roman"/>
          <w:lang w:val="en-NZ"/>
        </w:rPr>
        <w:t xml:space="preserve"> have used religious teachings to show how accounting could be improved or re-framed. There is a strong call </w:t>
      </w:r>
      <w:r w:rsidR="00C876C2">
        <w:rPr>
          <w:rFonts w:hAnsi="Times New Roman" w:cs="Times New Roman"/>
          <w:lang w:val="en-NZ"/>
        </w:rPr>
        <w:t>from Christianity and Islam to</w:t>
      </w:r>
      <w:r>
        <w:rPr>
          <w:rFonts w:hAnsi="Times New Roman" w:cs="Times New Roman"/>
          <w:lang w:val="en-NZ"/>
        </w:rPr>
        <w:t xml:space="preserve"> </w:t>
      </w:r>
      <w:r w:rsidR="00C876C2">
        <w:rPr>
          <w:rFonts w:hAnsi="Times New Roman" w:cs="Times New Roman"/>
          <w:lang w:val="en-NZ"/>
        </w:rPr>
        <w:t>employ</w:t>
      </w:r>
      <w:r>
        <w:rPr>
          <w:rFonts w:hAnsi="Times New Roman" w:cs="Times New Roman"/>
          <w:lang w:val="en-NZ"/>
        </w:rPr>
        <w:t xml:space="preserve"> ethic</w:t>
      </w:r>
      <w:r w:rsidR="00C876C2">
        <w:rPr>
          <w:rFonts w:hAnsi="Times New Roman" w:cs="Times New Roman"/>
          <w:lang w:val="en-NZ"/>
        </w:rPr>
        <w:t>al theories to</w:t>
      </w:r>
      <w:r>
        <w:rPr>
          <w:rFonts w:hAnsi="Times New Roman" w:cs="Times New Roman"/>
          <w:lang w:val="en-NZ"/>
        </w:rPr>
        <w:t xml:space="preserve"> conceptualis</w:t>
      </w:r>
      <w:r w:rsidR="00C876C2">
        <w:rPr>
          <w:rFonts w:hAnsi="Times New Roman" w:cs="Times New Roman"/>
          <w:lang w:val="en-NZ"/>
        </w:rPr>
        <w:t>e</w:t>
      </w:r>
      <w:r>
        <w:rPr>
          <w:rFonts w:hAnsi="Times New Roman" w:cs="Times New Roman"/>
          <w:lang w:val="en-NZ"/>
        </w:rPr>
        <w:t xml:space="preserve"> the e</w:t>
      </w:r>
      <w:r w:rsidR="00C876C2">
        <w:rPr>
          <w:rFonts w:hAnsi="Times New Roman" w:cs="Times New Roman"/>
          <w:lang w:val="en-NZ"/>
        </w:rPr>
        <w:t>ntity and what is accounted for</w:t>
      </w:r>
      <w:r>
        <w:rPr>
          <w:rFonts w:hAnsi="Times New Roman" w:cs="Times New Roman"/>
          <w:lang w:val="en-NZ"/>
        </w:rPr>
        <w:t xml:space="preserve"> (e.g. Triyuono, 1996; Lim, 2014). These join the call of Gallhofer and Haslam (2004) and Moerman (2008) to bring about a more just society. Further, Rost et al., (2010) and Costa and Ramus (2011) provide evidence of religious practices that they believe would improve corporate management. In this diverse group of contributions</w:t>
      </w:r>
      <w:r w:rsidR="00C876C2">
        <w:rPr>
          <w:rFonts w:hAnsi="Times New Roman" w:cs="Times New Roman"/>
          <w:lang w:val="en-NZ"/>
        </w:rPr>
        <w:t>,</w:t>
      </w:r>
      <w:r>
        <w:rPr>
          <w:rFonts w:hAnsi="Times New Roman" w:cs="Times New Roman"/>
          <w:lang w:val="en-NZ"/>
        </w:rPr>
        <w:t xml:space="preserve"> and in respect of theory and academia, Hardy and Ballis (2005) call strongly to re-frame the concept of sacred-secular divide.</w:t>
      </w:r>
      <w:r w:rsidR="00C876C2">
        <w:rPr>
          <w:rFonts w:hAnsi="Times New Roman" w:cs="Times New Roman"/>
          <w:lang w:val="en-NZ"/>
        </w:rPr>
        <w:t xml:space="preserve"> This</w:t>
      </w:r>
      <w:r w:rsidR="00854741">
        <w:rPr>
          <w:rFonts w:hAnsi="Times New Roman" w:cs="Times New Roman"/>
          <w:lang w:val="en-NZ"/>
        </w:rPr>
        <w:t xml:space="preserve"> analysis of contributions against micro- and macro-perspectives, provides a sharper structure to enable further theorisation of these contributions. </w:t>
      </w:r>
    </w:p>
    <w:p w:rsidR="00743C59" w:rsidRPr="002925AE" w:rsidRDefault="00854741" w:rsidP="00743C59">
      <w:pPr>
        <w:spacing w:after="120" w:line="360" w:lineRule="auto"/>
        <w:ind w:firstLine="720"/>
        <w:rPr>
          <w:rFonts w:hAnsi="Times New Roman" w:cs="Times New Roman"/>
          <w:lang w:val="en-NZ"/>
        </w:rPr>
      </w:pPr>
      <w:r>
        <w:rPr>
          <w:rFonts w:hAnsi="Times New Roman" w:cs="Times New Roman"/>
          <w:lang w:val="en-NZ"/>
        </w:rPr>
        <w:t>In conclusion, t</w:t>
      </w:r>
      <w:r w:rsidR="00743C59" w:rsidRPr="002925AE">
        <w:rPr>
          <w:rFonts w:hAnsi="Times New Roman" w:cs="Times New Roman"/>
          <w:lang w:val="en-NZ"/>
        </w:rPr>
        <w:t xml:space="preserve">his paper concurs with Walker (2006), that there is increasing interest in the relationship between accounting and religion – not only from the archive, but also in respect of theology. While between 1988 and 2002 there were </w:t>
      </w:r>
      <w:r w:rsidR="00743C59">
        <w:rPr>
          <w:rFonts w:hAnsi="Times New Roman" w:cs="Times New Roman"/>
          <w:lang w:val="en-NZ"/>
        </w:rPr>
        <w:t>26</w:t>
      </w:r>
      <w:r w:rsidR="00743C59" w:rsidRPr="002925AE">
        <w:rPr>
          <w:rFonts w:hAnsi="Times New Roman" w:cs="Times New Roman"/>
          <w:lang w:val="en-NZ"/>
        </w:rPr>
        <w:t xml:space="preserve"> contributions, a burgeoning of interest in this topic has occurred since 2003 (with 30 between 2003 and 2008 and a further </w:t>
      </w:r>
      <w:r w:rsidR="00743C59">
        <w:rPr>
          <w:rFonts w:hAnsi="Times New Roman" w:cs="Times New Roman"/>
          <w:lang w:val="en-NZ"/>
        </w:rPr>
        <w:t>34</w:t>
      </w:r>
      <w:r w:rsidR="00743C59" w:rsidRPr="002925AE">
        <w:rPr>
          <w:rFonts w:hAnsi="Times New Roman" w:cs="Times New Roman"/>
          <w:lang w:val="en-NZ"/>
        </w:rPr>
        <w:t xml:space="preserve"> between 2009 and 2014). As can be seen from Appendix One, the publications have been </w:t>
      </w:r>
      <w:r w:rsidR="00C876C2">
        <w:rPr>
          <w:rFonts w:hAnsi="Times New Roman" w:cs="Times New Roman"/>
          <w:lang w:val="en-NZ"/>
        </w:rPr>
        <w:t>stimulated</w:t>
      </w:r>
      <w:r w:rsidR="00743C59" w:rsidRPr="002925AE">
        <w:rPr>
          <w:rFonts w:hAnsi="Times New Roman" w:cs="Times New Roman"/>
          <w:lang w:val="en-NZ"/>
        </w:rPr>
        <w:t xml:space="preserve"> by special issues or reviews</w:t>
      </w:r>
      <w:r w:rsidR="00C876C2">
        <w:rPr>
          <w:rFonts w:hAnsi="Times New Roman" w:cs="Times New Roman"/>
          <w:lang w:val="en-NZ"/>
        </w:rPr>
        <w:t>;</w:t>
      </w:r>
      <w:r w:rsidR="00743C59" w:rsidRPr="002925AE">
        <w:rPr>
          <w:rFonts w:hAnsi="Times New Roman" w:cs="Times New Roman"/>
          <w:lang w:val="en-NZ"/>
        </w:rPr>
        <w:t xml:space="preserve"> although, on average, the number of contributions has been fairly static </w:t>
      </w:r>
      <w:r w:rsidR="00743C59">
        <w:rPr>
          <w:rFonts w:hAnsi="Times New Roman" w:cs="Times New Roman"/>
          <w:lang w:val="en-NZ"/>
        </w:rPr>
        <w:t>since 2002</w:t>
      </w:r>
      <w:r w:rsidR="00743C59" w:rsidRPr="002925AE">
        <w:rPr>
          <w:rFonts w:hAnsi="Times New Roman" w:cs="Times New Roman"/>
          <w:lang w:val="en-NZ"/>
        </w:rPr>
        <w:t xml:space="preserve">. </w:t>
      </w:r>
    </w:p>
    <w:p w:rsidR="00366B6D" w:rsidRDefault="000D1A57" w:rsidP="007D3040">
      <w:pPr>
        <w:spacing w:after="120" w:line="360" w:lineRule="auto"/>
        <w:ind w:firstLine="720"/>
        <w:rPr>
          <w:rFonts w:hAnsi="Times New Roman" w:cs="Times New Roman"/>
          <w:lang w:val="en-NZ"/>
        </w:rPr>
      </w:pPr>
      <w:r w:rsidRPr="002925AE">
        <w:rPr>
          <w:rFonts w:hAnsi="Times New Roman" w:cs="Times New Roman"/>
          <w:lang w:val="en-NZ"/>
        </w:rPr>
        <w:t>It is to be hoped that this review will encourage connections to the under-researched areas</w:t>
      </w:r>
      <w:r w:rsidR="00854741">
        <w:rPr>
          <w:rFonts w:hAnsi="Times New Roman" w:cs="Times New Roman"/>
          <w:lang w:val="en-NZ"/>
        </w:rPr>
        <w:t xml:space="preserve"> which have been summarised above</w:t>
      </w:r>
      <w:r w:rsidRPr="002925AE">
        <w:rPr>
          <w:rFonts w:hAnsi="Times New Roman" w:cs="Times New Roman"/>
          <w:lang w:val="en-NZ"/>
        </w:rPr>
        <w:t xml:space="preserve">. This is especially necessary as the trend shows that </w:t>
      </w:r>
      <w:r w:rsidR="00F37792">
        <w:rPr>
          <w:rFonts w:hAnsi="Times New Roman" w:cs="Times New Roman"/>
          <w:lang w:val="en-NZ"/>
        </w:rPr>
        <w:t xml:space="preserve">there is a focus on micro-histories, rather than the </w:t>
      </w:r>
      <w:r w:rsidR="00854741">
        <w:rPr>
          <w:rFonts w:hAnsi="Times New Roman" w:cs="Times New Roman"/>
          <w:lang w:val="en-NZ"/>
        </w:rPr>
        <w:t>macro-</w:t>
      </w:r>
      <w:r w:rsidR="00F37792">
        <w:rPr>
          <w:rFonts w:hAnsi="Times New Roman" w:cs="Times New Roman"/>
          <w:lang w:val="en-NZ"/>
        </w:rPr>
        <w:t>influence of religion on accounting th</w:t>
      </w:r>
      <w:r w:rsidR="0028771F">
        <w:rPr>
          <w:rFonts w:hAnsi="Times New Roman" w:cs="Times New Roman"/>
          <w:lang w:val="en-NZ"/>
        </w:rPr>
        <w:t>eory and practise</w:t>
      </w:r>
      <w:r w:rsidR="00F37792" w:rsidRPr="002925AE">
        <w:rPr>
          <w:rFonts w:hAnsi="Times New Roman" w:cs="Times New Roman"/>
          <w:lang w:val="en-NZ"/>
        </w:rPr>
        <w:t xml:space="preserve">. </w:t>
      </w:r>
      <w:r w:rsidRPr="002925AE">
        <w:rPr>
          <w:rFonts w:hAnsi="Times New Roman" w:cs="Times New Roman"/>
          <w:lang w:val="en-NZ"/>
        </w:rPr>
        <w:t>Further, European studies and those from Christendom predominate</w:t>
      </w:r>
      <w:r w:rsidR="00854741">
        <w:rPr>
          <w:rFonts w:hAnsi="Times New Roman" w:cs="Times New Roman"/>
          <w:lang w:val="en-NZ"/>
        </w:rPr>
        <w:t xml:space="preserve"> in both micro- and macro-perspectives. </w:t>
      </w:r>
      <w:r w:rsidRPr="002925AE">
        <w:rPr>
          <w:rFonts w:hAnsi="Times New Roman" w:cs="Times New Roman"/>
          <w:lang w:val="en-NZ"/>
        </w:rPr>
        <w:t xml:space="preserve">There is ample reason to reflect the calls of this paper and others, to extend knowledge through comparative studies, </w:t>
      </w:r>
      <w:r w:rsidR="00AC1797">
        <w:rPr>
          <w:rFonts w:hAnsi="Times New Roman" w:cs="Times New Roman"/>
          <w:lang w:val="en-NZ"/>
        </w:rPr>
        <w:t xml:space="preserve">studies </w:t>
      </w:r>
      <w:r w:rsidRPr="002925AE">
        <w:rPr>
          <w:rFonts w:hAnsi="Times New Roman" w:cs="Times New Roman"/>
          <w:lang w:val="en-NZ"/>
        </w:rPr>
        <w:t xml:space="preserve">from countries, peoples and faiths that have been left largely unexplored, and from theologians and </w:t>
      </w:r>
      <w:r w:rsidR="00AC1797">
        <w:rPr>
          <w:rFonts w:hAnsi="Times New Roman" w:cs="Times New Roman"/>
          <w:lang w:val="en-NZ"/>
        </w:rPr>
        <w:t xml:space="preserve">key </w:t>
      </w:r>
      <w:r w:rsidRPr="002925AE">
        <w:rPr>
          <w:rFonts w:hAnsi="Times New Roman" w:cs="Times New Roman"/>
          <w:lang w:val="en-NZ"/>
        </w:rPr>
        <w:t xml:space="preserve">concepts (such as ethics) which </w:t>
      </w:r>
      <w:r w:rsidR="00AC1797">
        <w:rPr>
          <w:rFonts w:hAnsi="Times New Roman" w:cs="Times New Roman"/>
          <w:lang w:val="en-NZ"/>
        </w:rPr>
        <w:t>are</w:t>
      </w:r>
      <w:r w:rsidRPr="002925AE">
        <w:rPr>
          <w:rFonts w:hAnsi="Times New Roman" w:cs="Times New Roman"/>
          <w:lang w:val="en-NZ"/>
        </w:rPr>
        <w:t xml:space="preserve"> importan</w:t>
      </w:r>
      <w:r w:rsidR="00AC1797">
        <w:rPr>
          <w:rFonts w:hAnsi="Times New Roman" w:cs="Times New Roman"/>
          <w:lang w:val="en-NZ"/>
        </w:rPr>
        <w:t>t to</w:t>
      </w:r>
      <w:r w:rsidRPr="002925AE">
        <w:rPr>
          <w:rFonts w:hAnsi="Times New Roman" w:cs="Times New Roman"/>
          <w:lang w:val="en-NZ"/>
        </w:rPr>
        <w:t xml:space="preserve"> the academic </w:t>
      </w:r>
      <w:r w:rsidR="005C5956">
        <w:rPr>
          <w:rFonts w:hAnsi="Times New Roman" w:cs="Times New Roman"/>
          <w:lang w:val="en-NZ"/>
        </w:rPr>
        <w:t xml:space="preserve">study </w:t>
      </w:r>
      <w:r w:rsidRPr="002925AE">
        <w:rPr>
          <w:rFonts w:hAnsi="Times New Roman" w:cs="Times New Roman"/>
          <w:lang w:val="en-NZ"/>
        </w:rPr>
        <w:t>and practical application of accounting.</w:t>
      </w:r>
    </w:p>
    <w:p w:rsidR="00970C68" w:rsidRDefault="00970C68" w:rsidP="007D3040">
      <w:pPr>
        <w:spacing w:after="120" w:line="360" w:lineRule="auto"/>
        <w:ind w:firstLine="720"/>
        <w:rPr>
          <w:rFonts w:hAnsi="Times New Roman" w:cs="Times New Roman"/>
          <w:lang w:val="en-NZ"/>
        </w:rPr>
      </w:pPr>
    </w:p>
    <w:p w:rsidR="00970C68" w:rsidRPr="00970C68" w:rsidRDefault="00970C68" w:rsidP="00970C68">
      <w:pPr>
        <w:spacing w:after="120" w:line="360" w:lineRule="auto"/>
        <w:rPr>
          <w:rFonts w:hAnsi="Times New Roman" w:cs="Times New Roman"/>
          <w:lang w:val="en-NZ"/>
        </w:rPr>
      </w:pPr>
      <w:r w:rsidRPr="00970C68">
        <w:rPr>
          <w:rFonts w:hAnsi="Times New Roman" w:cs="Times New Roman"/>
          <w:b/>
          <w:lang w:val="en-NZ"/>
        </w:rPr>
        <w:t>Acknowledgements:</w:t>
      </w:r>
      <w:r>
        <w:rPr>
          <w:rFonts w:hAnsi="Times New Roman" w:cs="Times New Roman"/>
          <w:b/>
          <w:lang w:val="en-NZ"/>
        </w:rPr>
        <w:t xml:space="preserve"> </w:t>
      </w:r>
      <w:r w:rsidRPr="00970C68">
        <w:rPr>
          <w:rFonts w:hAnsi="Times New Roman" w:cs="Times New Roman"/>
          <w:lang w:val="en-NZ"/>
        </w:rPr>
        <w:t xml:space="preserve">The encouragement of Garry Carnegie, suggestions and comments </w:t>
      </w:r>
      <w:r>
        <w:rPr>
          <w:rFonts w:hAnsi="Times New Roman" w:cs="Times New Roman"/>
          <w:lang w:val="en-NZ"/>
        </w:rPr>
        <w:t>from</w:t>
      </w:r>
      <w:r w:rsidRPr="00970C68">
        <w:rPr>
          <w:rFonts w:hAnsi="Times New Roman" w:cs="Times New Roman"/>
          <w:lang w:val="en-NZ"/>
        </w:rPr>
        <w:t xml:space="preserve"> </w:t>
      </w:r>
      <w:r>
        <w:rPr>
          <w:rFonts w:hAnsi="Times New Roman" w:cs="Times New Roman"/>
          <w:lang w:val="en-NZ"/>
        </w:rPr>
        <w:t>Christopher Napier and other participants at the 30</w:t>
      </w:r>
      <w:r w:rsidRPr="00970C68">
        <w:rPr>
          <w:rFonts w:hAnsi="Times New Roman" w:cs="Times New Roman"/>
          <w:vertAlign w:val="superscript"/>
          <w:lang w:val="en-NZ"/>
        </w:rPr>
        <w:t>th</w:t>
      </w:r>
      <w:r>
        <w:rPr>
          <w:rFonts w:hAnsi="Times New Roman" w:cs="Times New Roman"/>
          <w:lang w:val="en-NZ"/>
        </w:rPr>
        <w:t xml:space="preserve"> Anniversary </w:t>
      </w:r>
      <w:r w:rsidRPr="00953DEC">
        <w:rPr>
          <w:rFonts w:hAnsi="Times New Roman" w:cs="Times New Roman"/>
          <w:lang w:val="en-NZ"/>
        </w:rPr>
        <w:t xml:space="preserve">Interdisciplinary Perspectives on Accounting Conference (Stockholm, 2015), and the input of </w:t>
      </w:r>
      <w:r w:rsidR="00AB642C" w:rsidRPr="00953DEC">
        <w:rPr>
          <w:rFonts w:hAnsi="Times New Roman" w:cs="Times New Roman"/>
          <w:lang w:val="en-NZ"/>
        </w:rPr>
        <w:t xml:space="preserve">Roger Hopkins and </w:t>
      </w:r>
      <w:r w:rsidRPr="00953DEC">
        <w:rPr>
          <w:rFonts w:hAnsi="Times New Roman" w:cs="Times New Roman"/>
          <w:lang w:val="en-NZ"/>
        </w:rPr>
        <w:t>the</w:t>
      </w:r>
      <w:r>
        <w:rPr>
          <w:rFonts w:hAnsi="Times New Roman" w:cs="Times New Roman"/>
          <w:lang w:val="en-NZ"/>
        </w:rPr>
        <w:t xml:space="preserve"> </w:t>
      </w:r>
      <w:r w:rsidRPr="00970C68">
        <w:rPr>
          <w:rFonts w:hAnsi="Times New Roman" w:cs="Times New Roman"/>
          <w:lang w:val="en-NZ"/>
        </w:rPr>
        <w:t>three anonymous referees</w:t>
      </w:r>
      <w:r>
        <w:rPr>
          <w:rFonts w:hAnsi="Times New Roman" w:cs="Times New Roman"/>
          <w:lang w:val="en-NZ"/>
        </w:rPr>
        <w:t>,</w:t>
      </w:r>
      <w:r w:rsidRPr="00970C68">
        <w:rPr>
          <w:rFonts w:hAnsi="Times New Roman" w:cs="Times New Roman"/>
          <w:lang w:val="en-NZ"/>
        </w:rPr>
        <w:t xml:space="preserve"> are gratefully acknowledged. </w:t>
      </w:r>
    </w:p>
    <w:p w:rsidR="00366B6D" w:rsidRPr="007D3040" w:rsidRDefault="000D1A57" w:rsidP="007D3040">
      <w:pPr>
        <w:spacing w:after="120" w:line="360" w:lineRule="auto"/>
        <w:rPr>
          <w:b/>
          <w:bCs/>
          <w:lang w:val="en-NZ"/>
        </w:rPr>
      </w:pPr>
      <w:r w:rsidRPr="002925AE">
        <w:rPr>
          <w:rFonts w:hAnsi="Times New Roman" w:cs="Times New Roman"/>
          <w:b/>
          <w:bCs/>
          <w:lang w:val="en-NZ"/>
        </w:rPr>
        <w:br w:type="column"/>
      </w:r>
      <w:r w:rsidRPr="007D3040">
        <w:rPr>
          <w:b/>
          <w:bCs/>
          <w:lang w:val="en-NZ"/>
        </w:rPr>
        <w:t>APPENDIX ONE</w:t>
      </w:r>
    </w:p>
    <w:p w:rsidR="00366B6D" w:rsidRPr="007D3040" w:rsidRDefault="000D1A57" w:rsidP="007D3040">
      <w:pPr>
        <w:spacing w:after="120" w:line="360" w:lineRule="auto"/>
        <w:rPr>
          <w:b/>
          <w:bCs/>
          <w:lang w:val="en-NZ"/>
        </w:rPr>
      </w:pPr>
      <w:r w:rsidRPr="007D3040">
        <w:rPr>
          <w:b/>
          <w:bCs/>
          <w:lang w:val="en-NZ"/>
        </w:rPr>
        <w:t>Figure A1: Type of study by year of publication</w:t>
      </w:r>
    </w:p>
    <w:p w:rsidR="00366B6D" w:rsidRPr="007D3040" w:rsidRDefault="00DA4B7F" w:rsidP="007D3040">
      <w:pPr>
        <w:spacing w:after="120" w:line="360" w:lineRule="auto"/>
        <w:rPr>
          <w:b/>
          <w:bCs/>
          <w:lang w:val="en-NZ"/>
        </w:rPr>
      </w:pPr>
      <w:r>
        <w:rPr>
          <w:noProof/>
          <w:lang w:val="en-GB" w:eastAsia="en-GB"/>
        </w:rPr>
        <w:drawing>
          <wp:inline distT="0" distB="0" distL="0" distR="0" wp14:anchorId="5A02F289" wp14:editId="412A47DC">
            <wp:extent cx="5270500" cy="2752090"/>
            <wp:effectExtent l="0" t="0" r="63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6B6D" w:rsidRPr="007D3040" w:rsidRDefault="00366B6D" w:rsidP="007D3040">
      <w:pPr>
        <w:spacing w:after="120" w:line="360" w:lineRule="auto"/>
        <w:rPr>
          <w:b/>
          <w:bCs/>
          <w:lang w:val="en-NZ"/>
        </w:rPr>
      </w:pPr>
    </w:p>
    <w:p w:rsidR="00366B6D" w:rsidRPr="007D3040" w:rsidRDefault="000D1A57" w:rsidP="007D3040">
      <w:pPr>
        <w:spacing w:after="120" w:line="360" w:lineRule="auto"/>
        <w:rPr>
          <w:b/>
          <w:bCs/>
          <w:lang w:val="en-NZ"/>
        </w:rPr>
      </w:pPr>
      <w:r w:rsidRPr="007D3040">
        <w:rPr>
          <w:b/>
          <w:bCs/>
          <w:lang w:val="en-NZ"/>
        </w:rPr>
        <w:t>Figure A2: Theoretical frameworks used in contributions by year of publication</w:t>
      </w:r>
    </w:p>
    <w:p w:rsidR="00366B6D" w:rsidRPr="007D3040" w:rsidRDefault="00C6603A" w:rsidP="007D3040">
      <w:pPr>
        <w:spacing w:after="120" w:line="360" w:lineRule="auto"/>
        <w:rPr>
          <w:lang w:val="en-NZ"/>
        </w:rPr>
      </w:pPr>
      <w:r>
        <w:rPr>
          <w:noProof/>
          <w:lang w:val="en-GB" w:eastAsia="en-GB"/>
        </w:rPr>
        <w:drawing>
          <wp:inline distT="0" distB="0" distL="0" distR="0" wp14:anchorId="6ED0FD83" wp14:editId="3E15E1A6">
            <wp:extent cx="5270500" cy="3399790"/>
            <wp:effectExtent l="0" t="0" r="63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B6D" w:rsidRDefault="00366B6D" w:rsidP="007D3040">
      <w:pPr>
        <w:spacing w:after="120" w:line="360" w:lineRule="auto"/>
        <w:rPr>
          <w:lang w:val="en-NZ"/>
        </w:rPr>
      </w:pPr>
    </w:p>
    <w:p w:rsidR="00F15B24" w:rsidRPr="007D3040" w:rsidRDefault="00F15B24" w:rsidP="007D3040">
      <w:pPr>
        <w:spacing w:after="120" w:line="360" w:lineRule="auto"/>
        <w:rPr>
          <w:lang w:val="en-NZ"/>
        </w:rPr>
        <w:sectPr w:rsidR="00F15B24" w:rsidRPr="007D3040" w:rsidSect="00E15EC3">
          <w:footerReference w:type="default" r:id="rId9"/>
          <w:endnotePr>
            <w:numFmt w:val="decimal"/>
          </w:endnotePr>
          <w:type w:val="continuous"/>
          <w:pgSz w:w="11900" w:h="16840"/>
          <w:pgMar w:top="1440" w:right="1800" w:bottom="1440" w:left="1800" w:header="708" w:footer="708" w:gutter="0"/>
          <w:cols w:space="720"/>
          <w:docGrid w:linePitch="326"/>
        </w:sectPr>
      </w:pPr>
    </w:p>
    <w:p w:rsidR="00730BCA" w:rsidRPr="007F0F7B" w:rsidRDefault="00730BCA" w:rsidP="00730BCA">
      <w:pPr>
        <w:spacing w:after="120" w:line="360" w:lineRule="auto"/>
        <w:rPr>
          <w:b/>
          <w:lang w:val="en-NZ"/>
        </w:rPr>
      </w:pPr>
      <w:r w:rsidRPr="007F0F7B">
        <w:rPr>
          <w:b/>
          <w:lang w:val="en-NZ"/>
        </w:rPr>
        <w:t>APPENDIX TWO: Detail on main sources, type and theoretical framework used in contributions on accounting history and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876"/>
        <w:gridCol w:w="1985"/>
        <w:gridCol w:w="1559"/>
        <w:gridCol w:w="1956"/>
        <w:gridCol w:w="1864"/>
        <w:gridCol w:w="1589"/>
      </w:tblGrid>
      <w:tr w:rsidR="00730BCA" w:rsidRPr="007F0F7B" w:rsidTr="0019397E">
        <w:tc>
          <w:tcPr>
            <w:tcW w:w="1230" w:type="dxa"/>
            <w:shd w:val="clear" w:color="auto" w:fill="auto"/>
          </w:tcPr>
          <w:p w:rsidR="00730BCA" w:rsidRPr="007F0F7B" w:rsidRDefault="00730BCA" w:rsidP="006154C0">
            <w:pPr>
              <w:jc w:val="center"/>
              <w:rPr>
                <w:b/>
                <w:lang w:val="en-NZ"/>
              </w:rPr>
            </w:pPr>
            <w:r w:rsidRPr="007F0F7B">
              <w:rPr>
                <w:b/>
                <w:lang w:val="en-NZ"/>
              </w:rPr>
              <w:t>Published by</w:t>
            </w:r>
          </w:p>
        </w:tc>
        <w:tc>
          <w:tcPr>
            <w:tcW w:w="2876" w:type="dxa"/>
            <w:tcBorders>
              <w:left w:val="double" w:sz="4" w:space="0" w:color="auto"/>
            </w:tcBorders>
            <w:shd w:val="clear" w:color="auto" w:fill="auto"/>
          </w:tcPr>
          <w:p w:rsidR="00730BCA" w:rsidRPr="007F0F7B" w:rsidRDefault="00730BCA" w:rsidP="006154C0">
            <w:pPr>
              <w:jc w:val="center"/>
              <w:rPr>
                <w:b/>
                <w:lang w:val="en-NZ"/>
              </w:rPr>
            </w:pPr>
            <w:r w:rsidRPr="007F0F7B">
              <w:rPr>
                <w:b/>
                <w:lang w:val="en-NZ"/>
              </w:rPr>
              <w:t>Case-study</w:t>
            </w:r>
          </w:p>
        </w:tc>
        <w:tc>
          <w:tcPr>
            <w:tcW w:w="1985" w:type="dxa"/>
            <w:shd w:val="clear" w:color="auto" w:fill="auto"/>
          </w:tcPr>
          <w:p w:rsidR="00730BCA" w:rsidRPr="007F0F7B" w:rsidRDefault="00730BCA" w:rsidP="006154C0">
            <w:pPr>
              <w:jc w:val="center"/>
              <w:rPr>
                <w:b/>
                <w:lang w:val="en-NZ"/>
              </w:rPr>
            </w:pPr>
            <w:r w:rsidRPr="007F0F7B">
              <w:rPr>
                <w:b/>
                <w:lang w:val="en-NZ"/>
              </w:rPr>
              <w:t>Theoretical Analysis</w:t>
            </w:r>
          </w:p>
        </w:tc>
        <w:tc>
          <w:tcPr>
            <w:tcW w:w="1559" w:type="dxa"/>
            <w:tcBorders>
              <w:right w:val="double" w:sz="4" w:space="0" w:color="auto"/>
            </w:tcBorders>
            <w:shd w:val="clear" w:color="auto" w:fill="auto"/>
          </w:tcPr>
          <w:p w:rsidR="00730BCA" w:rsidRPr="007F0F7B" w:rsidRDefault="00730BCA" w:rsidP="006154C0">
            <w:pPr>
              <w:jc w:val="center"/>
              <w:rPr>
                <w:b/>
                <w:lang w:val="en-NZ"/>
              </w:rPr>
            </w:pPr>
            <w:r w:rsidRPr="007F0F7B">
              <w:rPr>
                <w:b/>
                <w:lang w:val="en-NZ"/>
              </w:rPr>
              <w:t>Review of studies</w:t>
            </w:r>
          </w:p>
        </w:tc>
        <w:tc>
          <w:tcPr>
            <w:tcW w:w="1956" w:type="dxa"/>
            <w:tcBorders>
              <w:left w:val="double" w:sz="4" w:space="0" w:color="auto"/>
            </w:tcBorders>
            <w:shd w:val="clear" w:color="auto" w:fill="auto"/>
          </w:tcPr>
          <w:p w:rsidR="00730BCA" w:rsidRPr="007F0F7B" w:rsidRDefault="00730BCA" w:rsidP="006154C0">
            <w:pPr>
              <w:jc w:val="center"/>
              <w:rPr>
                <w:b/>
                <w:lang w:val="en-NZ"/>
              </w:rPr>
            </w:pPr>
            <w:r w:rsidRPr="007F0F7B">
              <w:rPr>
                <w:b/>
                <w:lang w:val="en-NZ"/>
              </w:rPr>
              <w:t>Sacred-Secular Divide</w:t>
            </w:r>
          </w:p>
        </w:tc>
        <w:tc>
          <w:tcPr>
            <w:tcW w:w="1864" w:type="dxa"/>
            <w:shd w:val="clear" w:color="auto" w:fill="auto"/>
          </w:tcPr>
          <w:p w:rsidR="00730BCA" w:rsidRPr="007F0F7B" w:rsidRDefault="00730BCA" w:rsidP="006154C0">
            <w:pPr>
              <w:jc w:val="center"/>
              <w:rPr>
                <w:b/>
                <w:lang w:val="en-NZ"/>
              </w:rPr>
            </w:pPr>
            <w:r w:rsidRPr="007F0F7B">
              <w:rPr>
                <w:b/>
                <w:lang w:val="en-NZ"/>
              </w:rPr>
              <w:t>Accountability</w:t>
            </w:r>
          </w:p>
        </w:tc>
        <w:tc>
          <w:tcPr>
            <w:tcW w:w="1589" w:type="dxa"/>
            <w:tcBorders>
              <w:right w:val="single" w:sz="4" w:space="0" w:color="auto"/>
            </w:tcBorders>
            <w:shd w:val="clear" w:color="auto" w:fill="auto"/>
          </w:tcPr>
          <w:p w:rsidR="00730BCA" w:rsidRPr="007F0F7B" w:rsidRDefault="00730BCA" w:rsidP="006154C0">
            <w:pPr>
              <w:jc w:val="center"/>
              <w:rPr>
                <w:b/>
                <w:lang w:val="en-NZ"/>
              </w:rPr>
            </w:pPr>
            <w:r w:rsidRPr="007F0F7B">
              <w:rPr>
                <w:b/>
                <w:lang w:val="en-NZ"/>
              </w:rPr>
              <w:t>Antecedents</w:t>
            </w:r>
          </w:p>
        </w:tc>
      </w:tr>
      <w:tr w:rsidR="00730BCA" w:rsidRPr="007F0F7B" w:rsidTr="0019397E">
        <w:tc>
          <w:tcPr>
            <w:tcW w:w="1230" w:type="dxa"/>
            <w:shd w:val="clear" w:color="auto" w:fill="auto"/>
          </w:tcPr>
          <w:p w:rsidR="00730BCA" w:rsidRPr="007F0F7B" w:rsidRDefault="00730BCA" w:rsidP="006154C0">
            <w:pPr>
              <w:spacing w:after="120" w:line="360" w:lineRule="auto"/>
              <w:rPr>
                <w:i/>
                <w:lang w:val="en-NZ"/>
              </w:rPr>
            </w:pPr>
            <w:r w:rsidRPr="007F0F7B">
              <w:rPr>
                <w:i/>
                <w:lang w:val="en-NZ"/>
              </w:rPr>
              <w:t>AH</w:t>
            </w:r>
          </w:p>
        </w:tc>
        <w:tc>
          <w:tcPr>
            <w:tcW w:w="2876" w:type="dxa"/>
            <w:tcBorders>
              <w:left w:val="double" w:sz="4" w:space="0" w:color="auto"/>
            </w:tcBorders>
            <w:shd w:val="clear" w:color="auto" w:fill="auto"/>
          </w:tcPr>
          <w:p w:rsidR="00730BCA" w:rsidRPr="007F0F7B" w:rsidRDefault="00730BCA" w:rsidP="006154C0">
            <w:pPr>
              <w:spacing w:after="120" w:line="360" w:lineRule="auto"/>
              <w:rPr>
                <w:lang w:val="en-NZ"/>
              </w:rPr>
            </w:pPr>
            <w:r w:rsidRPr="007F0F7B">
              <w:rPr>
                <w:lang w:val="en-NZ"/>
              </w:rPr>
              <w:t>Bisaschi (2003), Alvarez-Dardet et al. (2006), Barlev (2006), Cordery (2006), Prieto et al. (2006), Riccaboni et al. (2006), Liyanarachchi (2009, 2015), Bracci et al. (2010), Rammal and Parker (2012), Leardini and Rossi (2013), Wissler (2013), Gatti and Poli (2014), Madonna et al. (2014).</w:t>
            </w:r>
          </w:p>
        </w:tc>
        <w:tc>
          <w:tcPr>
            <w:tcW w:w="1985" w:type="dxa"/>
            <w:shd w:val="clear" w:color="auto" w:fill="auto"/>
          </w:tcPr>
          <w:p w:rsidR="00730BCA" w:rsidRPr="007F0F7B" w:rsidRDefault="00730BCA" w:rsidP="006154C0">
            <w:pPr>
              <w:spacing w:after="120" w:line="360" w:lineRule="auto"/>
              <w:rPr>
                <w:lang w:val="en-NZ"/>
              </w:rPr>
            </w:pPr>
            <w:r w:rsidRPr="007F0F7B">
              <w:rPr>
                <w:lang w:val="en-NZ"/>
              </w:rPr>
              <w:t>Baker (2006), Moerman (2008).</w:t>
            </w:r>
          </w:p>
        </w:tc>
        <w:tc>
          <w:tcPr>
            <w:tcW w:w="1559" w:type="dxa"/>
            <w:tcBorders>
              <w:right w:val="double" w:sz="4" w:space="0" w:color="auto"/>
            </w:tcBorders>
            <w:shd w:val="clear" w:color="auto" w:fill="auto"/>
          </w:tcPr>
          <w:p w:rsidR="00730BCA" w:rsidRPr="007F0F7B" w:rsidRDefault="00730BCA" w:rsidP="006154C0">
            <w:pPr>
              <w:spacing w:after="120" w:line="360" w:lineRule="auto"/>
              <w:rPr>
                <w:lang w:val="en-NZ"/>
              </w:rPr>
            </w:pPr>
            <w:r w:rsidRPr="007F0F7B">
              <w:rPr>
                <w:lang w:val="en-NZ"/>
              </w:rPr>
              <w:t>de Serra Faria (2008), Napier (2009</w:t>
            </w:r>
            <w:r w:rsidR="00E15EC3">
              <w:rPr>
                <w:lang w:val="en-NZ"/>
              </w:rPr>
              <w:t>b</w:t>
            </w:r>
            <w:r w:rsidRPr="007F0F7B">
              <w:rPr>
                <w:lang w:val="en-NZ"/>
              </w:rPr>
              <w:t>).</w:t>
            </w:r>
          </w:p>
        </w:tc>
        <w:tc>
          <w:tcPr>
            <w:tcW w:w="1956" w:type="dxa"/>
            <w:tcBorders>
              <w:left w:val="double" w:sz="4" w:space="0" w:color="auto"/>
            </w:tcBorders>
            <w:shd w:val="clear" w:color="auto" w:fill="auto"/>
          </w:tcPr>
          <w:p w:rsidR="00730BCA" w:rsidRPr="007F0F7B" w:rsidRDefault="00730BCA" w:rsidP="006154C0">
            <w:pPr>
              <w:spacing w:after="120" w:line="360" w:lineRule="auto"/>
              <w:rPr>
                <w:lang w:val="en-NZ"/>
              </w:rPr>
            </w:pPr>
            <w:r w:rsidRPr="007F0F7B">
              <w:rPr>
                <w:lang w:val="en-NZ"/>
              </w:rPr>
              <w:t>Alvarez-Dardet et al. (2006), Cordery (2006).</w:t>
            </w:r>
          </w:p>
        </w:tc>
        <w:tc>
          <w:tcPr>
            <w:tcW w:w="1864" w:type="dxa"/>
            <w:shd w:val="clear" w:color="auto" w:fill="auto"/>
          </w:tcPr>
          <w:p w:rsidR="00730BCA" w:rsidRPr="007F0F7B" w:rsidRDefault="00730BCA" w:rsidP="006154C0">
            <w:pPr>
              <w:spacing w:after="120" w:line="360" w:lineRule="auto"/>
              <w:rPr>
                <w:lang w:val="en-NZ"/>
              </w:rPr>
            </w:pPr>
            <w:r w:rsidRPr="007F0F7B">
              <w:rPr>
                <w:lang w:val="en-NZ"/>
              </w:rPr>
              <w:t>Alvarez-Dardet et al. (2006), Barlev (2006), Cordery (2006), Riccaboni et al. (2006), Gatti and Poli (2014), Liyanarachchi (2015).</w:t>
            </w:r>
          </w:p>
        </w:tc>
        <w:tc>
          <w:tcPr>
            <w:tcW w:w="1589" w:type="dxa"/>
            <w:tcBorders>
              <w:right w:val="single" w:sz="4" w:space="0" w:color="auto"/>
            </w:tcBorders>
            <w:shd w:val="clear" w:color="auto" w:fill="auto"/>
          </w:tcPr>
          <w:p w:rsidR="00730BCA" w:rsidRPr="007F0F7B" w:rsidRDefault="00730BCA" w:rsidP="006154C0">
            <w:pPr>
              <w:spacing w:after="120" w:line="360" w:lineRule="auto"/>
              <w:rPr>
                <w:lang w:val="en-NZ"/>
              </w:rPr>
            </w:pPr>
            <w:r w:rsidRPr="007F0F7B">
              <w:rPr>
                <w:lang w:val="en-NZ"/>
              </w:rPr>
              <w:t>Bisaschi (2003), Liyanarachchi (2009, 2015), Wissler (2013).</w:t>
            </w:r>
          </w:p>
        </w:tc>
      </w:tr>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sidRPr="007F0F7B">
              <w:rPr>
                <w:i/>
                <w:lang w:val="en-NZ"/>
              </w:rPr>
              <w:t>AHJ</w:t>
            </w:r>
          </w:p>
        </w:tc>
        <w:tc>
          <w:tcPr>
            <w:tcW w:w="287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Swanson and Gardner (1986), Faircloth (1988), Fuglister and Bloom (1991), Irvine (2002), Fonfeder et al. (2003), Zaid (2004), Dobie (2008a), Herda et al. (2013), Orbay (2013).</w:t>
            </w:r>
          </w:p>
        </w:tc>
        <w:tc>
          <w:tcPr>
            <w:tcW w:w="1985" w:type="dxa"/>
            <w:shd w:val="clear" w:color="auto" w:fill="auto"/>
          </w:tcPr>
          <w:p w:rsidR="00712449" w:rsidRPr="007F0F7B" w:rsidRDefault="00712449" w:rsidP="00712449">
            <w:pPr>
              <w:spacing w:after="120" w:line="360" w:lineRule="auto"/>
              <w:rPr>
                <w:lang w:val="en-NZ"/>
              </w:rPr>
            </w:pPr>
            <w:r w:rsidRPr="007F0F7B">
              <w:rPr>
                <w:lang w:val="en-NZ"/>
              </w:rPr>
              <w:t>-</w:t>
            </w:r>
          </w:p>
        </w:tc>
        <w:tc>
          <w:tcPr>
            <w:tcW w:w="1559" w:type="dxa"/>
            <w:tcBorders>
              <w:right w:val="double" w:sz="4" w:space="0" w:color="auto"/>
            </w:tcBorders>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Fleishman and Radcliffe (2005), Cinquini et al. (2008), Baňos-Sánchez Matamoros and Gutiérrez-Hidalgo (2010).</w:t>
            </w:r>
          </w:p>
        </w:tc>
        <w:tc>
          <w:tcPr>
            <w:tcW w:w="1956" w:type="dxa"/>
            <w:tcBorders>
              <w:left w:val="double" w:sz="4" w:space="0" w:color="auto"/>
            </w:tcBorders>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Irvine (2002), Fonfeder et al. (2003), Herda et al. (2013).</w:t>
            </w:r>
          </w:p>
        </w:tc>
        <w:tc>
          <w:tcPr>
            <w:tcW w:w="1864" w:type="dxa"/>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Dobie (2008a).</w:t>
            </w:r>
          </w:p>
        </w:tc>
        <w:tc>
          <w:tcPr>
            <w:tcW w:w="1589" w:type="dxa"/>
            <w:tcBorders>
              <w:right w:val="single" w:sz="4" w:space="0" w:color="auto"/>
            </w:tcBorders>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Zaid (2004), Orbay (2013).</w:t>
            </w:r>
          </w:p>
        </w:tc>
      </w:tr>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Pr>
                <w:i/>
                <w:lang w:val="en-NZ"/>
              </w:rPr>
              <w:t>AAAJ</w:t>
            </w:r>
          </w:p>
        </w:tc>
        <w:tc>
          <w:tcPr>
            <w:tcW w:w="2876" w:type="dxa"/>
            <w:tcBorders>
              <w:left w:val="double" w:sz="4" w:space="0" w:color="auto"/>
            </w:tcBorders>
            <w:shd w:val="clear" w:color="auto" w:fill="auto"/>
          </w:tcPr>
          <w:p w:rsidR="00712449" w:rsidRPr="007F0F7B" w:rsidRDefault="00712449" w:rsidP="003B2876">
            <w:pPr>
              <w:spacing w:after="120" w:line="360" w:lineRule="auto"/>
              <w:rPr>
                <w:lang w:val="en-NZ"/>
              </w:rPr>
            </w:pPr>
            <w:r w:rsidRPr="007F0F7B">
              <w:rPr>
                <w:lang w:val="en-NZ"/>
              </w:rPr>
              <w:t xml:space="preserve">Laughlin (1988), Lightbody (2000), Jacobs and Walker (2004), Kreander et al. (2004), </w:t>
            </w:r>
            <w:r w:rsidR="003B2876">
              <w:rPr>
                <w:lang w:val="en-NZ"/>
              </w:rPr>
              <w:t xml:space="preserve">Irvine (2005), </w:t>
            </w:r>
            <w:r w:rsidRPr="007F0F7B">
              <w:rPr>
                <w:lang w:val="en-NZ"/>
              </w:rPr>
              <w:t>Paisey and Paisey (2011), Bigoni et al. (2013), Funnell and Williams (2014).</w:t>
            </w:r>
          </w:p>
        </w:tc>
        <w:tc>
          <w:tcPr>
            <w:tcW w:w="1985" w:type="dxa"/>
            <w:shd w:val="clear" w:color="auto" w:fill="auto"/>
          </w:tcPr>
          <w:p w:rsidR="00712449" w:rsidRPr="007F0F7B" w:rsidRDefault="00712449" w:rsidP="00712449">
            <w:pPr>
              <w:spacing w:after="120" w:line="360" w:lineRule="auto"/>
              <w:rPr>
                <w:lang w:val="en-NZ"/>
              </w:rPr>
            </w:pPr>
            <w:r w:rsidRPr="007F0F7B">
              <w:rPr>
                <w:lang w:val="en-NZ"/>
              </w:rPr>
              <w:t>Gallhofer and Haslam (2004), Tinker (2004), Hardy and Ballis (2005).</w:t>
            </w:r>
          </w:p>
        </w:tc>
        <w:tc>
          <w:tcPr>
            <w:tcW w:w="1559" w:type="dxa"/>
            <w:tcBorders>
              <w:right w:val="double" w:sz="4" w:space="0" w:color="auto"/>
            </w:tcBorders>
            <w:shd w:val="clear" w:color="auto" w:fill="auto"/>
          </w:tcPr>
          <w:p w:rsidR="00712449" w:rsidRPr="00712449" w:rsidRDefault="000F4F61" w:rsidP="00712449">
            <w:pPr>
              <w:spacing w:after="120" w:line="360" w:lineRule="auto"/>
              <w:rPr>
                <w:rFonts w:hAnsi="Times New Roman" w:cs="Times New Roman"/>
                <w:lang w:val="en-NZ"/>
              </w:rPr>
            </w:pPr>
            <w:r>
              <w:rPr>
                <w:lang w:val="en-NZ"/>
              </w:rPr>
              <w:t>Booth (1993)</w:t>
            </w:r>
          </w:p>
        </w:tc>
        <w:tc>
          <w:tcPr>
            <w:tcW w:w="1956" w:type="dxa"/>
            <w:tcBorders>
              <w:left w:val="double" w:sz="4" w:space="0" w:color="auto"/>
            </w:tcBorders>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Laughlin (1988), Booth (1993), Lightbody (2000), Jacobs and Walker (2004), Kreander et al. (2004), Hardy and Ballis (2005),  Paisey and Paisey (2011), Bigoni et al. (2013), Funnell and Williams (2014).</w:t>
            </w:r>
          </w:p>
        </w:tc>
        <w:tc>
          <w:tcPr>
            <w:tcW w:w="1864" w:type="dxa"/>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Jacobs and Walker (2004).</w:t>
            </w:r>
          </w:p>
        </w:tc>
        <w:tc>
          <w:tcPr>
            <w:tcW w:w="1589" w:type="dxa"/>
            <w:tcBorders>
              <w:right w:val="single" w:sz="4" w:space="0" w:color="auto"/>
            </w:tcBorders>
            <w:shd w:val="clear" w:color="auto" w:fill="auto"/>
          </w:tcPr>
          <w:p w:rsidR="00712449" w:rsidRPr="00712449" w:rsidRDefault="00712449" w:rsidP="00712449">
            <w:pPr>
              <w:spacing w:after="120" w:line="360" w:lineRule="auto"/>
              <w:rPr>
                <w:rFonts w:hAnsi="Times New Roman" w:cs="Times New Roman"/>
                <w:lang w:val="en-NZ"/>
              </w:rPr>
            </w:pPr>
            <w:r w:rsidRPr="00712449">
              <w:rPr>
                <w:rFonts w:hAnsi="Times New Roman" w:cs="Times New Roman"/>
                <w:lang w:val="en-NZ"/>
              </w:rPr>
              <w:t>-</w:t>
            </w:r>
          </w:p>
        </w:tc>
      </w:tr>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sidRPr="007F0F7B">
              <w:rPr>
                <w:i/>
                <w:lang w:val="en-NZ"/>
              </w:rPr>
              <w:t>AHR</w:t>
            </w:r>
          </w:p>
        </w:tc>
        <w:tc>
          <w:tcPr>
            <w:tcW w:w="2876" w:type="dxa"/>
            <w:tcBorders>
              <w:left w:val="double" w:sz="4" w:space="0" w:color="auto"/>
            </w:tcBorders>
            <w:shd w:val="clear" w:color="auto" w:fill="auto"/>
          </w:tcPr>
          <w:p w:rsidR="00712449" w:rsidRPr="007F0F7B" w:rsidRDefault="00712449" w:rsidP="00AD47CC">
            <w:pPr>
              <w:spacing w:after="120" w:line="360" w:lineRule="auto"/>
              <w:rPr>
                <w:lang w:val="en-NZ"/>
              </w:rPr>
            </w:pPr>
            <w:r w:rsidRPr="007F0F7B">
              <w:rPr>
                <w:lang w:val="en-NZ"/>
              </w:rPr>
              <w:t>Llopis et al. (2002), Gao and Handley-Schachler (2003), Lee (2006), Dobie (2008b, 2011), Orelli et al. (2013).</w:t>
            </w:r>
          </w:p>
        </w:tc>
        <w:tc>
          <w:tcPr>
            <w:tcW w:w="1985" w:type="dxa"/>
            <w:shd w:val="clear" w:color="auto" w:fill="auto"/>
          </w:tcPr>
          <w:p w:rsidR="00712449" w:rsidRPr="007F0F7B" w:rsidRDefault="00712449" w:rsidP="00712449">
            <w:pPr>
              <w:spacing w:after="120" w:line="360" w:lineRule="auto"/>
              <w:rPr>
                <w:lang w:val="en-NZ"/>
              </w:rPr>
            </w:pPr>
            <w:r>
              <w:t>Visse</w:t>
            </w:r>
            <w:r w:rsidR="0019397E">
              <w:t xml:space="preserve">r and MacIntosh (1998), Lister </w:t>
            </w:r>
            <w:r>
              <w:t>(2006).</w:t>
            </w:r>
          </w:p>
        </w:tc>
        <w:tc>
          <w:tcPr>
            <w:tcW w:w="1559" w:type="dxa"/>
            <w:tcBorders>
              <w:righ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c>
          <w:tcPr>
            <w:tcW w:w="195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c>
          <w:tcPr>
            <w:tcW w:w="1864" w:type="dxa"/>
            <w:shd w:val="clear" w:color="auto" w:fill="auto"/>
          </w:tcPr>
          <w:p w:rsidR="00712449" w:rsidRPr="007F0F7B" w:rsidRDefault="00712449" w:rsidP="00712449">
            <w:pPr>
              <w:spacing w:after="120" w:line="360" w:lineRule="auto"/>
              <w:rPr>
                <w:lang w:val="en-NZ"/>
              </w:rPr>
            </w:pPr>
            <w:r w:rsidRPr="007F0F7B">
              <w:rPr>
                <w:lang w:val="en-NZ"/>
              </w:rPr>
              <w:t>-</w:t>
            </w:r>
          </w:p>
        </w:tc>
        <w:tc>
          <w:tcPr>
            <w:tcW w:w="1589" w:type="dxa"/>
            <w:tcBorders>
              <w:right w:val="sing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r>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sidRPr="007F0F7B">
              <w:rPr>
                <w:i/>
                <w:lang w:val="en-NZ"/>
              </w:rPr>
              <w:t>AOS</w:t>
            </w:r>
          </w:p>
        </w:tc>
        <w:tc>
          <w:tcPr>
            <w:tcW w:w="287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Walker (1998),  Quattrone (2004), Ezzamel (2009), Kuasirikin and Constable (2010), Parker (2014).</w:t>
            </w:r>
          </w:p>
        </w:tc>
        <w:tc>
          <w:tcPr>
            <w:tcW w:w="1985" w:type="dxa"/>
            <w:shd w:val="clear" w:color="auto" w:fill="auto"/>
          </w:tcPr>
          <w:p w:rsidR="00712449" w:rsidRPr="007F0F7B" w:rsidRDefault="00712449" w:rsidP="00712449">
            <w:pPr>
              <w:spacing w:after="120" w:line="360" w:lineRule="auto"/>
              <w:rPr>
                <w:lang w:val="en-NZ"/>
              </w:rPr>
            </w:pPr>
            <w:r w:rsidRPr="007F0F7B">
              <w:rPr>
                <w:lang w:val="en-NZ"/>
              </w:rPr>
              <w:t>-</w:t>
            </w:r>
          </w:p>
        </w:tc>
        <w:tc>
          <w:tcPr>
            <w:tcW w:w="1559" w:type="dxa"/>
            <w:tcBorders>
              <w:righ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c>
          <w:tcPr>
            <w:tcW w:w="195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Quattrone (2004), Kuasirikin and Constable (2010).</w:t>
            </w:r>
          </w:p>
        </w:tc>
        <w:tc>
          <w:tcPr>
            <w:tcW w:w="1864" w:type="dxa"/>
            <w:shd w:val="clear" w:color="auto" w:fill="auto"/>
          </w:tcPr>
          <w:p w:rsidR="00712449" w:rsidRPr="007F0F7B" w:rsidRDefault="00712449" w:rsidP="00712449">
            <w:pPr>
              <w:spacing w:after="120" w:line="360" w:lineRule="auto"/>
              <w:rPr>
                <w:lang w:val="en-NZ"/>
              </w:rPr>
            </w:pPr>
            <w:r w:rsidRPr="007F0F7B">
              <w:rPr>
                <w:lang w:val="en-NZ"/>
              </w:rPr>
              <w:t>Parker (2014)</w:t>
            </w:r>
          </w:p>
        </w:tc>
        <w:tc>
          <w:tcPr>
            <w:tcW w:w="1589" w:type="dxa"/>
            <w:tcBorders>
              <w:right w:val="single" w:sz="4" w:space="0" w:color="auto"/>
            </w:tcBorders>
            <w:shd w:val="clear" w:color="auto" w:fill="auto"/>
          </w:tcPr>
          <w:p w:rsidR="00712449" w:rsidRPr="007F0F7B" w:rsidRDefault="00712449" w:rsidP="00712449">
            <w:pPr>
              <w:spacing w:after="120" w:line="360" w:lineRule="auto"/>
              <w:rPr>
                <w:lang w:val="en-NZ"/>
              </w:rPr>
            </w:pPr>
            <w:r w:rsidRPr="007F0F7B">
              <w:rPr>
                <w:lang w:val="en-NZ"/>
              </w:rPr>
              <w:t>Ezzamel (2009), Kuasirikin and Constable (2010).</w:t>
            </w:r>
          </w:p>
        </w:tc>
      </w:tr>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sidRPr="007F0F7B">
              <w:rPr>
                <w:i/>
                <w:lang w:val="en-NZ"/>
              </w:rPr>
              <w:t>FAM</w:t>
            </w:r>
          </w:p>
        </w:tc>
        <w:tc>
          <w:tcPr>
            <w:tcW w:w="287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 xml:space="preserve">Trigg and Nabangi (1995), Laughlin (1990), Abdul-Rahman and Goddard (1998), </w:t>
            </w:r>
            <w:r>
              <w:rPr>
                <w:lang w:val="en-NZ"/>
              </w:rPr>
              <w:t xml:space="preserve">Kluvers (2001), </w:t>
            </w:r>
            <w:r w:rsidRPr="007F0F7B">
              <w:rPr>
                <w:lang w:val="en-NZ"/>
              </w:rPr>
              <w:t>Lightbody (2003).</w:t>
            </w:r>
          </w:p>
        </w:tc>
        <w:tc>
          <w:tcPr>
            <w:tcW w:w="1985" w:type="dxa"/>
            <w:shd w:val="clear" w:color="auto" w:fill="auto"/>
          </w:tcPr>
          <w:p w:rsidR="00712449" w:rsidRPr="007F0F7B" w:rsidRDefault="00712449" w:rsidP="00712449">
            <w:pPr>
              <w:spacing w:after="120" w:line="360" w:lineRule="auto"/>
              <w:rPr>
                <w:lang w:val="en-NZ"/>
              </w:rPr>
            </w:pPr>
            <w:r w:rsidRPr="007F0F7B">
              <w:rPr>
                <w:lang w:val="en-NZ"/>
              </w:rPr>
              <w:t>-</w:t>
            </w:r>
          </w:p>
        </w:tc>
        <w:tc>
          <w:tcPr>
            <w:tcW w:w="1559" w:type="dxa"/>
            <w:tcBorders>
              <w:righ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c>
          <w:tcPr>
            <w:tcW w:w="195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 xml:space="preserve">Laughlin (1990), </w:t>
            </w:r>
            <w:r>
              <w:rPr>
                <w:lang w:val="en-NZ"/>
              </w:rPr>
              <w:t xml:space="preserve">Kluvers (2001), </w:t>
            </w:r>
            <w:r w:rsidRPr="007F0F7B">
              <w:rPr>
                <w:lang w:val="en-NZ"/>
              </w:rPr>
              <w:t>Lightbody (2003).</w:t>
            </w:r>
          </w:p>
        </w:tc>
        <w:tc>
          <w:tcPr>
            <w:tcW w:w="1864" w:type="dxa"/>
            <w:shd w:val="clear" w:color="auto" w:fill="auto"/>
          </w:tcPr>
          <w:p w:rsidR="00712449" w:rsidRPr="007F0F7B" w:rsidRDefault="00712449" w:rsidP="00712449">
            <w:pPr>
              <w:spacing w:after="120" w:line="360" w:lineRule="auto"/>
              <w:rPr>
                <w:lang w:val="en-NZ"/>
              </w:rPr>
            </w:pPr>
            <w:r w:rsidRPr="007F0F7B">
              <w:rPr>
                <w:lang w:val="en-NZ"/>
              </w:rPr>
              <w:t>Laughlin (1990), Lightbody (2003).</w:t>
            </w:r>
          </w:p>
        </w:tc>
        <w:tc>
          <w:tcPr>
            <w:tcW w:w="1589" w:type="dxa"/>
            <w:tcBorders>
              <w:right w:val="single" w:sz="4" w:space="0" w:color="auto"/>
            </w:tcBorders>
            <w:shd w:val="clear" w:color="auto" w:fill="auto"/>
          </w:tcPr>
          <w:p w:rsidR="00712449" w:rsidRPr="007F0F7B" w:rsidRDefault="00712449" w:rsidP="00712449">
            <w:pPr>
              <w:spacing w:after="120" w:line="360" w:lineRule="auto"/>
              <w:rPr>
                <w:lang w:val="en-NZ"/>
              </w:rPr>
            </w:pPr>
            <w:r w:rsidRPr="007F0F7B">
              <w:rPr>
                <w:lang w:val="en-NZ"/>
              </w:rPr>
              <w:t>-</w:t>
            </w:r>
          </w:p>
        </w:tc>
      </w:tr>
    </w:tbl>
    <w:p w:rsidR="0019397E" w:rsidRDefault="00193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876"/>
        <w:gridCol w:w="1985"/>
        <w:gridCol w:w="1559"/>
        <w:gridCol w:w="1956"/>
        <w:gridCol w:w="1864"/>
        <w:gridCol w:w="1589"/>
      </w:tblGrid>
      <w:tr w:rsidR="00712449" w:rsidRPr="007F0F7B" w:rsidTr="0019397E">
        <w:tc>
          <w:tcPr>
            <w:tcW w:w="1230" w:type="dxa"/>
            <w:shd w:val="clear" w:color="auto" w:fill="auto"/>
          </w:tcPr>
          <w:p w:rsidR="00712449" w:rsidRPr="007F0F7B" w:rsidRDefault="00712449" w:rsidP="00712449">
            <w:pPr>
              <w:spacing w:after="120" w:line="360" w:lineRule="auto"/>
              <w:rPr>
                <w:i/>
                <w:lang w:val="en-NZ"/>
              </w:rPr>
            </w:pPr>
            <w:r w:rsidRPr="007F0F7B">
              <w:rPr>
                <w:i/>
                <w:lang w:val="en-NZ"/>
              </w:rPr>
              <w:t>Other</w:t>
            </w:r>
            <w:r>
              <w:rPr>
                <w:i/>
                <w:vertAlign w:val="superscript"/>
                <w:lang w:val="en-NZ"/>
              </w:rPr>
              <w:t>*</w:t>
            </w:r>
          </w:p>
        </w:tc>
        <w:tc>
          <w:tcPr>
            <w:tcW w:w="2876" w:type="dxa"/>
            <w:tcBorders>
              <w:left w:val="double" w:sz="4" w:space="0" w:color="auto"/>
            </w:tcBorders>
            <w:shd w:val="clear" w:color="auto" w:fill="auto"/>
          </w:tcPr>
          <w:p w:rsidR="00712449" w:rsidRPr="007F0F7B" w:rsidRDefault="00712449" w:rsidP="00B202D5">
            <w:pPr>
              <w:spacing w:after="120" w:line="360" w:lineRule="auto"/>
              <w:rPr>
                <w:lang w:val="en-NZ"/>
              </w:rPr>
            </w:pPr>
            <w:r w:rsidRPr="00B202D5">
              <w:rPr>
                <w:lang w:val="en-NZ"/>
              </w:rPr>
              <w:t xml:space="preserve">Rowe and Giroux (1986), Swanson and Gardner (1988), </w:t>
            </w:r>
            <w:r w:rsidRPr="00B202D5">
              <w:t xml:space="preserve">Fishman and Goldschmidt, (1990), </w:t>
            </w:r>
            <w:r w:rsidRPr="00B202D5">
              <w:rPr>
                <w:lang w:val="en-NZ"/>
              </w:rPr>
              <w:t xml:space="preserve">Lennell (1994), Parker (2001, 2002), Mandel (2002), Ezzamel (2005), Urton (2009), Maali and Napier (2010), </w:t>
            </w:r>
            <w:r w:rsidRPr="00B202D5">
              <w:rPr>
                <w:rFonts w:hAnsi="Times New Roman" w:cs="Times New Roman"/>
                <w:lang w:val="en-NZ"/>
              </w:rPr>
              <w:t>Melčák</w:t>
            </w:r>
            <w:r w:rsidRPr="00B202D5">
              <w:rPr>
                <w:lang w:val="en-NZ"/>
              </w:rPr>
              <w:t xml:space="preserve"> (2010), </w:t>
            </w:r>
            <w:r w:rsidRPr="00B202D5">
              <w:t xml:space="preserve">Roca (2010), </w:t>
            </w:r>
            <w:r w:rsidRPr="00B202D5">
              <w:rPr>
                <w:lang w:val="en-NZ"/>
              </w:rPr>
              <w:t xml:space="preserve">Yayla (2011), </w:t>
            </w:r>
            <w:r w:rsidRPr="00B202D5">
              <w:t xml:space="preserve">Slavin, (2012), </w:t>
            </w:r>
            <w:r w:rsidRPr="00B202D5">
              <w:rPr>
                <w:lang w:val="en-NZ"/>
              </w:rPr>
              <w:t xml:space="preserve">Dixon and Gaffikin (2013), </w:t>
            </w:r>
            <w:r w:rsidRPr="00B202D5">
              <w:t xml:space="preserve">Hong  (2014), </w:t>
            </w:r>
            <w:r w:rsidRPr="00B202D5">
              <w:rPr>
                <w:lang w:val="en-NZ"/>
              </w:rPr>
              <w:t>Bigoni and Funnell (2015).</w:t>
            </w:r>
          </w:p>
        </w:tc>
        <w:tc>
          <w:tcPr>
            <w:tcW w:w="1985" w:type="dxa"/>
            <w:shd w:val="clear" w:color="auto" w:fill="auto"/>
          </w:tcPr>
          <w:p w:rsidR="00712449" w:rsidRPr="007F0F7B" w:rsidRDefault="000F4F61" w:rsidP="00712449">
            <w:pPr>
              <w:spacing w:after="120" w:line="360" w:lineRule="auto"/>
              <w:rPr>
                <w:lang w:val="en-NZ"/>
              </w:rPr>
            </w:pPr>
            <w:r w:rsidRPr="007F0F7B">
              <w:rPr>
                <w:lang w:val="en-NZ"/>
              </w:rPr>
              <w:t xml:space="preserve">Gambling and Karim (1986), </w:t>
            </w:r>
            <w:r w:rsidR="00712449" w:rsidRPr="007F0F7B">
              <w:rPr>
                <w:lang w:val="en-NZ"/>
              </w:rPr>
              <w:t xml:space="preserve">Carruthers and Espeland (1991), </w:t>
            </w:r>
            <w:r w:rsidR="00712449">
              <w:rPr>
                <w:lang w:val="en-NZ"/>
              </w:rPr>
              <w:t xml:space="preserve">Ornatowski (1996), </w:t>
            </w:r>
            <w:r w:rsidR="00712449" w:rsidRPr="007F0F7B">
              <w:rPr>
                <w:lang w:val="en-NZ"/>
              </w:rPr>
              <w:t xml:space="preserve">Triyuono (1996), Jafri and Margolis (1999), Aho (2005), Knouse et al. (2007), </w:t>
            </w:r>
            <w:r w:rsidR="0019397E" w:rsidRPr="007F0F7B">
              <w:rPr>
                <w:lang w:val="en-NZ"/>
              </w:rPr>
              <w:t xml:space="preserve">Rost et al. (2010), </w:t>
            </w:r>
            <w:r w:rsidR="00712449" w:rsidRPr="007F0F7B">
              <w:rPr>
                <w:lang w:val="en-NZ"/>
              </w:rPr>
              <w:t>Costa and Ramus (2011), Rothstein and Broms (2013)</w:t>
            </w:r>
            <w:r w:rsidR="00712449">
              <w:rPr>
                <w:lang w:val="en-NZ"/>
              </w:rPr>
              <w:t xml:space="preserve">, </w:t>
            </w:r>
            <w:r w:rsidR="00712449" w:rsidRPr="007F0F7B">
              <w:rPr>
                <w:lang w:val="en-NZ"/>
              </w:rPr>
              <w:t>Lim (2014).</w:t>
            </w:r>
          </w:p>
        </w:tc>
        <w:tc>
          <w:tcPr>
            <w:tcW w:w="1559" w:type="dxa"/>
            <w:tcBorders>
              <w:righ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 xml:space="preserve">Walker (2006), </w:t>
            </w:r>
            <w:r>
              <w:rPr>
                <w:lang w:val="en-NZ"/>
              </w:rPr>
              <w:t>Carmona and Ezzamel (2009).</w:t>
            </w:r>
          </w:p>
        </w:tc>
        <w:tc>
          <w:tcPr>
            <w:tcW w:w="1956" w:type="dxa"/>
            <w:tcBorders>
              <w:left w:val="double" w:sz="4" w:space="0" w:color="auto"/>
            </w:tcBorders>
            <w:shd w:val="clear" w:color="auto" w:fill="auto"/>
          </w:tcPr>
          <w:p w:rsidR="00712449" w:rsidRPr="007F0F7B" w:rsidRDefault="00712449" w:rsidP="00712449">
            <w:pPr>
              <w:spacing w:after="120" w:line="360" w:lineRule="auto"/>
              <w:rPr>
                <w:lang w:val="en-NZ"/>
              </w:rPr>
            </w:pPr>
            <w:r w:rsidRPr="007F0F7B">
              <w:rPr>
                <w:lang w:val="en-NZ"/>
              </w:rPr>
              <w:t>Parker (2001, 2002), Ezzamel (2005).</w:t>
            </w:r>
          </w:p>
        </w:tc>
        <w:tc>
          <w:tcPr>
            <w:tcW w:w="1864" w:type="dxa"/>
            <w:shd w:val="clear" w:color="auto" w:fill="auto"/>
          </w:tcPr>
          <w:p w:rsidR="00712449" w:rsidRPr="007F0F7B" w:rsidRDefault="00712449" w:rsidP="00712449">
            <w:pPr>
              <w:spacing w:after="120" w:line="360" w:lineRule="auto"/>
              <w:rPr>
                <w:lang w:val="en-NZ"/>
              </w:rPr>
            </w:pPr>
            <w:r w:rsidRPr="007F0F7B">
              <w:rPr>
                <w:lang w:val="en-NZ"/>
              </w:rPr>
              <w:t>Lennell (1994), Rost et al. (2010), Dixon and Gaffikin (2013).</w:t>
            </w:r>
          </w:p>
        </w:tc>
        <w:tc>
          <w:tcPr>
            <w:tcW w:w="1589" w:type="dxa"/>
            <w:tcBorders>
              <w:right w:val="single" w:sz="4" w:space="0" w:color="auto"/>
            </w:tcBorders>
            <w:shd w:val="clear" w:color="auto" w:fill="auto"/>
          </w:tcPr>
          <w:p w:rsidR="00712449" w:rsidRPr="007F0F7B" w:rsidRDefault="00712449" w:rsidP="00712449">
            <w:pPr>
              <w:spacing w:after="120" w:line="360" w:lineRule="auto"/>
              <w:rPr>
                <w:lang w:val="en-NZ"/>
              </w:rPr>
            </w:pPr>
            <w:r w:rsidRPr="007F0F7B">
              <w:rPr>
                <w:lang w:val="en-NZ"/>
              </w:rPr>
              <w:t xml:space="preserve">Carruthers and Espeland (1991), </w:t>
            </w:r>
            <w:r>
              <w:rPr>
                <w:lang w:val="en-NZ"/>
              </w:rPr>
              <w:t xml:space="preserve">Aho (2005), </w:t>
            </w:r>
            <w:r w:rsidRPr="007F0F7B">
              <w:rPr>
                <w:lang w:val="en-NZ"/>
              </w:rPr>
              <w:t>Knouse et al. (2007)</w:t>
            </w:r>
            <w:r>
              <w:rPr>
                <w:lang w:val="en-NZ"/>
              </w:rPr>
              <w:t>, Knouse (2014)</w:t>
            </w:r>
            <w:r w:rsidRPr="007F0F7B">
              <w:rPr>
                <w:lang w:val="en-NZ"/>
              </w:rPr>
              <w:t>.</w:t>
            </w:r>
          </w:p>
        </w:tc>
      </w:tr>
    </w:tbl>
    <w:p w:rsidR="00730BCA" w:rsidRDefault="00730BCA" w:rsidP="00730BCA">
      <w:pPr>
        <w:spacing w:after="120" w:line="360" w:lineRule="auto"/>
        <w:rPr>
          <w:lang w:val="en-NZ"/>
        </w:rPr>
      </w:pPr>
      <w:r w:rsidRPr="007F0F7B">
        <w:rPr>
          <w:lang w:val="en-NZ"/>
        </w:rPr>
        <w:t>** Foucault was used as a basis for theorization by Baker (2006) (</w:t>
      </w:r>
      <w:r w:rsidRPr="007F0F7B">
        <w:rPr>
          <w:i/>
          <w:lang w:val="en-NZ"/>
        </w:rPr>
        <w:t>AH</w:t>
      </w:r>
      <w:r w:rsidRPr="007F0F7B">
        <w:rPr>
          <w:lang w:val="en-NZ"/>
        </w:rPr>
        <w:t>), Urton (2009), Madonna et al. (2014) (</w:t>
      </w:r>
      <w:r w:rsidRPr="007F0F7B">
        <w:rPr>
          <w:i/>
          <w:lang w:val="en-NZ"/>
        </w:rPr>
        <w:t>AH</w:t>
      </w:r>
      <w:r w:rsidRPr="007F0F7B">
        <w:rPr>
          <w:lang w:val="en-NZ"/>
        </w:rPr>
        <w:t>), and Bigoni and Funnell (2015).</w:t>
      </w:r>
      <w:r w:rsidRPr="007D3040">
        <w:rPr>
          <w:lang w:val="en-NZ"/>
        </w:rPr>
        <w:t xml:space="preserve"> </w:t>
      </w:r>
    </w:p>
    <w:p w:rsidR="007454B0" w:rsidRDefault="003A7272" w:rsidP="007454B0">
      <w:pPr>
        <w:spacing w:after="120" w:line="360" w:lineRule="auto"/>
        <w:rPr>
          <w:b/>
          <w:lang w:val="en-NZ"/>
        </w:rPr>
      </w:pPr>
      <w:r>
        <w:rPr>
          <w:b/>
          <w:lang w:val="en-NZ"/>
        </w:rPr>
        <w:br w:type="column"/>
      </w:r>
      <w:r w:rsidR="007454B0" w:rsidRPr="007F0F7B">
        <w:rPr>
          <w:b/>
          <w:lang w:val="en-NZ"/>
        </w:rPr>
        <w:t xml:space="preserve">APPENDIX </w:t>
      </w:r>
      <w:r w:rsidR="007454B0">
        <w:rPr>
          <w:b/>
          <w:lang w:val="en-NZ"/>
        </w:rPr>
        <w:t>THREE</w:t>
      </w:r>
      <w:r w:rsidR="007454B0" w:rsidRPr="007F0F7B">
        <w:rPr>
          <w:b/>
          <w:lang w:val="en-NZ"/>
        </w:rPr>
        <w:t xml:space="preserve">: Detail on </w:t>
      </w:r>
      <w:r w:rsidR="007454B0">
        <w:rPr>
          <w:b/>
          <w:lang w:val="en-NZ"/>
        </w:rPr>
        <w:t>micro and macro perspectives of</w:t>
      </w:r>
      <w:r w:rsidR="007454B0" w:rsidRPr="007F0F7B">
        <w:rPr>
          <w:b/>
          <w:lang w:val="en-NZ"/>
        </w:rPr>
        <w:t xml:space="preserve"> contributions on accounting history and religion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110"/>
        <w:gridCol w:w="3119"/>
        <w:gridCol w:w="3118"/>
      </w:tblGrid>
      <w:tr w:rsidR="00466947" w:rsidRPr="007F0F7B" w:rsidTr="003402ED">
        <w:tc>
          <w:tcPr>
            <w:tcW w:w="7366" w:type="dxa"/>
            <w:gridSpan w:val="2"/>
            <w:tcBorders>
              <w:left w:val="double" w:sz="4" w:space="0" w:color="auto"/>
              <w:right w:val="double" w:sz="4" w:space="0" w:color="auto"/>
            </w:tcBorders>
            <w:shd w:val="clear" w:color="auto" w:fill="auto"/>
          </w:tcPr>
          <w:p w:rsidR="00466947" w:rsidRPr="007F0F7B" w:rsidRDefault="00466947" w:rsidP="000A15E4">
            <w:pPr>
              <w:jc w:val="center"/>
              <w:rPr>
                <w:b/>
                <w:lang w:val="en-NZ"/>
              </w:rPr>
            </w:pPr>
            <w:r>
              <w:rPr>
                <w:b/>
                <w:lang w:val="en-NZ"/>
              </w:rPr>
              <w:t>Micro perspectives</w:t>
            </w:r>
          </w:p>
        </w:tc>
        <w:tc>
          <w:tcPr>
            <w:tcW w:w="6237" w:type="dxa"/>
            <w:gridSpan w:val="2"/>
            <w:tcBorders>
              <w:left w:val="double" w:sz="4" w:space="0" w:color="auto"/>
              <w:right w:val="single" w:sz="4" w:space="0" w:color="auto"/>
            </w:tcBorders>
            <w:shd w:val="clear" w:color="auto" w:fill="auto"/>
          </w:tcPr>
          <w:p w:rsidR="00466947" w:rsidRPr="007F0F7B" w:rsidRDefault="00466947" w:rsidP="000A15E4">
            <w:pPr>
              <w:jc w:val="center"/>
              <w:rPr>
                <w:b/>
                <w:lang w:val="en-NZ"/>
              </w:rPr>
            </w:pPr>
            <w:r>
              <w:rPr>
                <w:b/>
                <w:lang w:val="en-NZ"/>
              </w:rPr>
              <w:t>Macro perspectives</w:t>
            </w:r>
          </w:p>
        </w:tc>
      </w:tr>
      <w:tr w:rsidR="00466947" w:rsidRPr="007F0F7B" w:rsidTr="003402ED">
        <w:tc>
          <w:tcPr>
            <w:tcW w:w="3256" w:type="dxa"/>
            <w:tcBorders>
              <w:left w:val="double" w:sz="4" w:space="0" w:color="auto"/>
            </w:tcBorders>
            <w:shd w:val="clear" w:color="auto" w:fill="auto"/>
          </w:tcPr>
          <w:p w:rsidR="00466947" w:rsidRPr="007F0F7B" w:rsidRDefault="00466947" w:rsidP="000A15E4">
            <w:pPr>
              <w:jc w:val="center"/>
              <w:rPr>
                <w:b/>
                <w:lang w:val="en-NZ"/>
              </w:rPr>
            </w:pPr>
            <w:r w:rsidRPr="007454B0">
              <w:rPr>
                <w:b/>
                <w:lang w:val="en-NZ"/>
              </w:rPr>
              <w:t>Economic/accounting theory or rationale</w:t>
            </w:r>
          </w:p>
        </w:tc>
        <w:tc>
          <w:tcPr>
            <w:tcW w:w="4110" w:type="dxa"/>
            <w:shd w:val="clear" w:color="auto" w:fill="auto"/>
          </w:tcPr>
          <w:p w:rsidR="00466947" w:rsidRPr="007F0F7B" w:rsidRDefault="00466947" w:rsidP="000A15E4">
            <w:pPr>
              <w:jc w:val="center"/>
              <w:rPr>
                <w:b/>
                <w:lang w:val="en-NZ"/>
              </w:rPr>
            </w:pPr>
            <w:r w:rsidRPr="007454B0">
              <w:rPr>
                <w:b/>
                <w:lang w:val="en-NZ"/>
              </w:rPr>
              <w:t>Other theories to critique narrative</w:t>
            </w:r>
          </w:p>
        </w:tc>
        <w:tc>
          <w:tcPr>
            <w:tcW w:w="3119" w:type="dxa"/>
            <w:tcBorders>
              <w:left w:val="double" w:sz="4" w:space="0" w:color="auto"/>
            </w:tcBorders>
            <w:shd w:val="clear" w:color="auto" w:fill="auto"/>
          </w:tcPr>
          <w:p w:rsidR="00466947" w:rsidRPr="007F0F7B" w:rsidRDefault="00466947" w:rsidP="000A15E4">
            <w:pPr>
              <w:jc w:val="center"/>
              <w:rPr>
                <w:b/>
                <w:lang w:val="en-NZ"/>
              </w:rPr>
            </w:pPr>
            <w:r w:rsidRPr="00F17658">
              <w:rPr>
                <w:b/>
                <w:lang w:val="en-NZ"/>
              </w:rPr>
              <w:t>Practices/beliefs have influenced accounting practise/ theory</w:t>
            </w:r>
          </w:p>
        </w:tc>
        <w:tc>
          <w:tcPr>
            <w:tcW w:w="3118" w:type="dxa"/>
            <w:shd w:val="clear" w:color="auto" w:fill="auto"/>
          </w:tcPr>
          <w:p w:rsidR="00466947" w:rsidRPr="007F0F7B" w:rsidRDefault="00466947" w:rsidP="000A15E4">
            <w:pPr>
              <w:jc w:val="center"/>
              <w:rPr>
                <w:b/>
                <w:lang w:val="en-NZ"/>
              </w:rPr>
            </w:pPr>
            <w:r w:rsidRPr="00F17658">
              <w:rPr>
                <w:b/>
                <w:lang w:val="en-NZ"/>
              </w:rPr>
              <w:t>Practices/beliefs with potential to influence accounting practise/ theory</w:t>
            </w:r>
          </w:p>
        </w:tc>
      </w:tr>
      <w:tr w:rsidR="00466947" w:rsidRPr="007F0F7B" w:rsidTr="003402ED">
        <w:tc>
          <w:tcPr>
            <w:tcW w:w="3256" w:type="dxa"/>
            <w:tcBorders>
              <w:left w:val="double" w:sz="4" w:space="0" w:color="auto"/>
            </w:tcBorders>
            <w:shd w:val="clear" w:color="auto" w:fill="auto"/>
          </w:tcPr>
          <w:p w:rsidR="00466947" w:rsidRPr="007F0F7B" w:rsidRDefault="00466947" w:rsidP="003402ED">
            <w:pPr>
              <w:spacing w:after="120" w:line="360" w:lineRule="auto"/>
              <w:rPr>
                <w:lang w:val="en-NZ"/>
              </w:rPr>
            </w:pPr>
            <w:r w:rsidRPr="007F0F7B">
              <w:rPr>
                <w:lang w:val="en-NZ"/>
              </w:rPr>
              <w:t>Rowe and Giroux (1986), Swanson and Gardner (1986</w:t>
            </w:r>
            <w:r w:rsidR="003A52F0">
              <w:rPr>
                <w:lang w:val="en-NZ"/>
              </w:rPr>
              <w:t>, 1988</w:t>
            </w:r>
            <w:r w:rsidRPr="007F0F7B">
              <w:rPr>
                <w:lang w:val="en-NZ"/>
              </w:rPr>
              <w:t xml:space="preserve">), </w:t>
            </w:r>
            <w:r w:rsidR="003A52F0" w:rsidRPr="007F0F7B">
              <w:rPr>
                <w:lang w:val="en-NZ"/>
              </w:rPr>
              <w:t xml:space="preserve">Faircloth (1988), </w:t>
            </w:r>
            <w:r w:rsidRPr="007F0F7B">
              <w:rPr>
                <w:lang w:val="en-NZ"/>
              </w:rPr>
              <w:t>Fuglister and Bloom (1991), Lennell (1994), Trigg and Nabangi (1995),</w:t>
            </w:r>
            <w:r>
              <w:rPr>
                <w:lang w:val="en-NZ"/>
              </w:rPr>
              <w:t xml:space="preserve"> Walker (1998),</w:t>
            </w:r>
            <w:r w:rsidRPr="007F0F7B">
              <w:rPr>
                <w:lang w:val="en-NZ"/>
              </w:rPr>
              <w:t xml:space="preserve"> Llopis et al. (2002), Bisaschi (2003), Quattrone (2004), Zaid (2004), </w:t>
            </w:r>
            <w:r>
              <w:rPr>
                <w:lang w:val="en-NZ"/>
              </w:rPr>
              <w:t xml:space="preserve">Aho (2005), </w:t>
            </w:r>
            <w:r w:rsidRPr="007F0F7B">
              <w:rPr>
                <w:lang w:val="en-NZ"/>
              </w:rPr>
              <w:t>Prieto et al. (2006), Dobie (2008a</w:t>
            </w:r>
            <w:r>
              <w:rPr>
                <w:lang w:val="en-NZ"/>
              </w:rPr>
              <w:t>,b, 2011</w:t>
            </w:r>
            <w:r w:rsidRPr="007F0F7B">
              <w:rPr>
                <w:lang w:val="en-NZ"/>
              </w:rPr>
              <w:t>), Ezzamel (2009), Liyanarachchi (2009, 2015),</w:t>
            </w:r>
            <w:r>
              <w:rPr>
                <w:lang w:val="en-NZ"/>
              </w:rPr>
              <w:t xml:space="preserve"> Bracci et al. (2010), </w:t>
            </w:r>
            <w:r>
              <w:t xml:space="preserve">Roca (2010), </w:t>
            </w:r>
            <w:r w:rsidR="003A52F0">
              <w:rPr>
                <w:rFonts w:hAnsi="Times New Roman" w:cs="Times New Roman"/>
                <w:lang w:val="en-NZ"/>
              </w:rPr>
              <w:t>Melčák</w:t>
            </w:r>
            <w:r w:rsidR="003A52F0">
              <w:rPr>
                <w:lang w:val="en-NZ"/>
              </w:rPr>
              <w:t xml:space="preserve"> (2010), </w:t>
            </w:r>
            <w:r>
              <w:t xml:space="preserve">Slavin, (2012), </w:t>
            </w:r>
            <w:r w:rsidRPr="007F0F7B">
              <w:rPr>
                <w:lang w:val="en-NZ"/>
              </w:rPr>
              <w:t>Orbay (2013)</w:t>
            </w:r>
            <w:r>
              <w:rPr>
                <w:lang w:val="en-NZ"/>
              </w:rPr>
              <w:t>, Orelli et al. (2013)</w:t>
            </w:r>
            <w:r w:rsidRPr="007F0F7B">
              <w:rPr>
                <w:lang w:val="en-NZ"/>
              </w:rPr>
              <w:t>.</w:t>
            </w:r>
          </w:p>
        </w:tc>
        <w:tc>
          <w:tcPr>
            <w:tcW w:w="4110" w:type="dxa"/>
            <w:shd w:val="clear" w:color="auto" w:fill="auto"/>
          </w:tcPr>
          <w:p w:rsidR="00466947" w:rsidRPr="007F0F7B" w:rsidRDefault="00662CFC" w:rsidP="00AD47CC">
            <w:pPr>
              <w:spacing w:after="120" w:line="360" w:lineRule="auto"/>
              <w:rPr>
                <w:lang w:val="en-NZ"/>
              </w:rPr>
            </w:pPr>
            <w:r w:rsidRPr="001D1E66">
              <w:rPr>
                <w:lang w:val="en-NZ"/>
              </w:rPr>
              <w:t xml:space="preserve">Abdul-Rahman and Goddard (1998), Laughlin (1988, 1990), </w:t>
            </w:r>
            <w:r w:rsidR="003A52F0" w:rsidRPr="001D1E66">
              <w:t xml:space="preserve">Fishman and Goldschmidt, (1990), </w:t>
            </w:r>
            <w:r w:rsidRPr="001D1E66">
              <w:rPr>
                <w:lang w:val="en-NZ"/>
              </w:rPr>
              <w:t xml:space="preserve">Lightbody (2000, 2003), Parker (2001, 2002), </w:t>
            </w:r>
            <w:r w:rsidR="003A52F0" w:rsidRPr="001D1E66">
              <w:rPr>
                <w:lang w:val="en-NZ"/>
              </w:rPr>
              <w:t xml:space="preserve">Kluvers (2001), </w:t>
            </w:r>
            <w:r w:rsidRPr="001D1E66">
              <w:rPr>
                <w:lang w:val="en-NZ"/>
              </w:rPr>
              <w:t>Irvine (2002</w:t>
            </w:r>
            <w:r w:rsidR="001D1E66" w:rsidRPr="001D1E66">
              <w:rPr>
                <w:lang w:val="en-NZ"/>
              </w:rPr>
              <w:t>, 2005</w:t>
            </w:r>
            <w:r w:rsidRPr="001D1E66">
              <w:rPr>
                <w:lang w:val="en-NZ"/>
              </w:rPr>
              <w:t>), Fonfeder et al. (2003), Jacobs and Walker (2004), Kreander et al. (2004), Ezzamel (2005), Alvarez-Dardet et al. (2006), Barlev (2006), Cordery (2006), Riccaboni et al. (2006), Urton (2009), Maali and Napier (2010), Paisey and Paisey (2011), Yayla (2011), Bigoni et al. (2013), Dixon and Gaffikin (2013), Herda et al. (2013), Leardini and Rossi (2013), Gatti and Poli (2014),</w:t>
            </w:r>
            <w:r w:rsidRPr="007F0F7B">
              <w:rPr>
                <w:lang w:val="en-NZ"/>
              </w:rPr>
              <w:t xml:space="preserve"> </w:t>
            </w:r>
            <w:r w:rsidRPr="001D1E66">
              <w:rPr>
                <w:lang w:val="en-NZ"/>
              </w:rPr>
              <w:t>Madonna et al. (2014), Bigoni and Funnell (2015).</w:t>
            </w:r>
          </w:p>
        </w:tc>
        <w:tc>
          <w:tcPr>
            <w:tcW w:w="3119" w:type="dxa"/>
            <w:tcBorders>
              <w:left w:val="double" w:sz="4" w:space="0" w:color="auto"/>
            </w:tcBorders>
            <w:shd w:val="clear" w:color="auto" w:fill="auto"/>
          </w:tcPr>
          <w:p w:rsidR="00466947" w:rsidRPr="007F0F7B" w:rsidRDefault="00466947" w:rsidP="000A15E4">
            <w:pPr>
              <w:spacing w:after="120" w:line="360" w:lineRule="auto"/>
              <w:rPr>
                <w:lang w:val="en-NZ"/>
              </w:rPr>
            </w:pPr>
            <w:r w:rsidRPr="007F0F7B">
              <w:rPr>
                <w:lang w:val="en-NZ"/>
              </w:rPr>
              <w:t>Gambling and Karim (1986),</w:t>
            </w:r>
            <w:r>
              <w:rPr>
                <w:lang w:val="en-NZ"/>
              </w:rPr>
              <w:t xml:space="preserve"> Ornatowski (1996), </w:t>
            </w:r>
            <w:r>
              <w:t xml:space="preserve">Visser and MacIntosh (1998), </w:t>
            </w:r>
            <w:r w:rsidRPr="007F0F7B">
              <w:rPr>
                <w:lang w:val="en-NZ"/>
              </w:rPr>
              <w:t>Carruthers and Espeland (1991), Jafri and Margolis (1999),</w:t>
            </w:r>
            <w:r>
              <w:rPr>
                <w:lang w:val="en-NZ"/>
              </w:rPr>
              <w:t xml:space="preserve"> Mandel (2002), </w:t>
            </w:r>
            <w:r w:rsidRPr="007F0F7B">
              <w:rPr>
                <w:lang w:val="en-NZ"/>
              </w:rPr>
              <w:t>Gao and Handley-Schachler (2003), Tinker (2004), Lee (20</w:t>
            </w:r>
            <w:r>
              <w:rPr>
                <w:lang w:val="en-NZ"/>
              </w:rPr>
              <w:t xml:space="preserve">06), </w:t>
            </w:r>
            <w:r>
              <w:t xml:space="preserve">Lister  (2006), </w:t>
            </w:r>
            <w:r w:rsidRPr="007F0F7B">
              <w:rPr>
                <w:lang w:val="en-NZ"/>
              </w:rPr>
              <w:t>Knouse et al. (2007), Kuasirikin and Constable (2010), Rammal and Parker (2012),</w:t>
            </w:r>
            <w:r>
              <w:rPr>
                <w:lang w:val="en-NZ"/>
              </w:rPr>
              <w:t xml:space="preserve"> </w:t>
            </w:r>
            <w:r w:rsidRPr="007F0F7B">
              <w:rPr>
                <w:lang w:val="en-NZ"/>
              </w:rPr>
              <w:t>Rothstein and Broms (2013)</w:t>
            </w:r>
            <w:r>
              <w:rPr>
                <w:lang w:val="en-NZ"/>
              </w:rPr>
              <w:t xml:space="preserve">, </w:t>
            </w:r>
            <w:r w:rsidRPr="007F0F7B">
              <w:rPr>
                <w:lang w:val="en-NZ"/>
              </w:rPr>
              <w:t>Wissler (2013), Funnell and Williams (2014)</w:t>
            </w:r>
            <w:r>
              <w:rPr>
                <w:lang w:val="en-NZ"/>
              </w:rPr>
              <w:t xml:space="preserve">, </w:t>
            </w:r>
            <w:r>
              <w:t xml:space="preserve">Hong  (2014), </w:t>
            </w:r>
            <w:r w:rsidRPr="007F0F7B">
              <w:rPr>
                <w:lang w:val="en-NZ"/>
              </w:rPr>
              <w:t>Parker (201</w:t>
            </w:r>
            <w:r>
              <w:rPr>
                <w:lang w:val="en-NZ"/>
              </w:rPr>
              <w:t>4)</w:t>
            </w:r>
            <w:r w:rsidRPr="007F0F7B">
              <w:rPr>
                <w:lang w:val="en-NZ"/>
              </w:rPr>
              <w:t>.</w:t>
            </w:r>
          </w:p>
        </w:tc>
        <w:tc>
          <w:tcPr>
            <w:tcW w:w="3118" w:type="dxa"/>
            <w:shd w:val="clear" w:color="auto" w:fill="auto"/>
          </w:tcPr>
          <w:p w:rsidR="00466947" w:rsidRPr="007F0F7B" w:rsidRDefault="00466947" w:rsidP="00FC3A29">
            <w:pPr>
              <w:spacing w:after="120" w:line="360" w:lineRule="auto"/>
              <w:rPr>
                <w:lang w:val="en-NZ"/>
              </w:rPr>
            </w:pPr>
            <w:r w:rsidRPr="007F0F7B">
              <w:rPr>
                <w:lang w:val="en-NZ"/>
              </w:rPr>
              <w:t xml:space="preserve">Triyuono (1996), Gallhofer and Haslam (2004), </w:t>
            </w:r>
            <w:r>
              <w:rPr>
                <w:lang w:val="en-NZ"/>
              </w:rPr>
              <w:t>Hardy and Ballis (2005),</w:t>
            </w:r>
            <w:r w:rsidRPr="007F0F7B">
              <w:rPr>
                <w:lang w:val="en-NZ"/>
              </w:rPr>
              <w:t xml:space="preserve"> Baker (2006),</w:t>
            </w:r>
            <w:r>
              <w:rPr>
                <w:lang w:val="en-NZ"/>
              </w:rPr>
              <w:t xml:space="preserve"> </w:t>
            </w:r>
            <w:r w:rsidRPr="007F0F7B">
              <w:rPr>
                <w:lang w:val="en-NZ"/>
              </w:rPr>
              <w:t>Moerman (2008)</w:t>
            </w:r>
            <w:r>
              <w:rPr>
                <w:lang w:val="en-NZ"/>
              </w:rPr>
              <w:t>,</w:t>
            </w:r>
            <w:r w:rsidRPr="007F0F7B">
              <w:rPr>
                <w:lang w:val="en-NZ"/>
              </w:rPr>
              <w:t xml:space="preserve"> Rost et al. (2010), Costa and Ramus (2011), Lim (2014).</w:t>
            </w:r>
          </w:p>
        </w:tc>
      </w:tr>
    </w:tbl>
    <w:p w:rsidR="007454B0" w:rsidRDefault="003A52F0" w:rsidP="00730BCA">
      <w:pPr>
        <w:spacing w:after="120" w:line="360" w:lineRule="auto"/>
        <w:rPr>
          <w:rFonts w:hAnsi="Times New Roman" w:cs="Times New Roman"/>
          <w:b/>
          <w:bCs/>
          <w:lang w:val="en-NZ"/>
        </w:rPr>
        <w:sectPr w:rsidR="007454B0" w:rsidSect="00730BCA">
          <w:endnotePr>
            <w:numFmt w:val="decimal"/>
          </w:endnotePr>
          <w:pgSz w:w="16840" w:h="11900" w:orient="landscape"/>
          <w:pgMar w:top="1800" w:right="1440" w:bottom="1800" w:left="1440" w:header="708" w:footer="708" w:gutter="0"/>
          <w:cols w:space="720"/>
          <w:docGrid w:linePitch="326"/>
        </w:sectPr>
      </w:pPr>
      <w:r w:rsidRPr="003A52F0">
        <w:rPr>
          <w:lang w:val="en-NZ"/>
        </w:rPr>
        <w:t>Omitted from this analysis as they are reviews of studies:</w:t>
      </w:r>
      <w:r>
        <w:rPr>
          <w:lang w:val="en-NZ"/>
        </w:rPr>
        <w:t xml:space="preserve"> </w:t>
      </w:r>
      <w:r w:rsidR="003402ED">
        <w:rPr>
          <w:lang w:val="en-NZ"/>
        </w:rPr>
        <w:t xml:space="preserve">Booth (1993), </w:t>
      </w:r>
      <w:r w:rsidRPr="00712449">
        <w:rPr>
          <w:rFonts w:hAnsi="Times New Roman" w:cs="Times New Roman"/>
          <w:lang w:val="en-NZ"/>
        </w:rPr>
        <w:t xml:space="preserve">Fleishman and Radcliffe (2005), </w:t>
      </w:r>
      <w:r w:rsidRPr="007F0F7B">
        <w:rPr>
          <w:lang w:val="en-NZ"/>
        </w:rPr>
        <w:t xml:space="preserve">Walker (2006), </w:t>
      </w:r>
      <w:r w:rsidRPr="00712449">
        <w:rPr>
          <w:rFonts w:hAnsi="Times New Roman" w:cs="Times New Roman"/>
          <w:lang w:val="en-NZ"/>
        </w:rPr>
        <w:t>Cinquini et al. (2008),</w:t>
      </w:r>
      <w:r>
        <w:rPr>
          <w:rFonts w:hAnsi="Times New Roman" w:cs="Times New Roman"/>
          <w:lang w:val="en-NZ"/>
        </w:rPr>
        <w:t xml:space="preserve"> </w:t>
      </w:r>
      <w:r w:rsidRPr="007F0F7B">
        <w:rPr>
          <w:lang w:val="en-NZ"/>
        </w:rPr>
        <w:t xml:space="preserve">de Serra Faria (2008), </w:t>
      </w:r>
      <w:r>
        <w:rPr>
          <w:lang w:val="en-NZ"/>
        </w:rPr>
        <w:t xml:space="preserve">Carmona and Ezzamel (2009), </w:t>
      </w:r>
      <w:r>
        <w:rPr>
          <w:rFonts w:hAnsi="Times New Roman" w:cs="Times New Roman"/>
          <w:lang w:val="en-NZ"/>
        </w:rPr>
        <w:t xml:space="preserve">Napier (2009b), </w:t>
      </w:r>
      <w:r w:rsidRPr="00712449">
        <w:rPr>
          <w:rFonts w:hAnsi="Times New Roman" w:cs="Times New Roman"/>
          <w:lang w:val="en-NZ"/>
        </w:rPr>
        <w:t>Baňos-Sánchez Matamoros and Gutiérrez-Hidalgo (2010).</w:t>
      </w:r>
    </w:p>
    <w:p w:rsidR="00366B6D" w:rsidRPr="00470C06" w:rsidRDefault="000D1A57" w:rsidP="007D3040">
      <w:pPr>
        <w:spacing w:after="120" w:line="360" w:lineRule="auto"/>
        <w:rPr>
          <w:rFonts w:hAnsi="Times New Roman" w:cs="Times New Roman"/>
          <w:b/>
          <w:bCs/>
          <w:lang w:val="en-NZ"/>
        </w:rPr>
      </w:pPr>
      <w:r w:rsidRPr="00470C06">
        <w:rPr>
          <w:rFonts w:hAnsi="Times New Roman" w:cs="Times New Roman"/>
          <w:b/>
          <w:bCs/>
          <w:lang w:val="en-NZ"/>
        </w:rPr>
        <w:t>References</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Abdul-Rahman AR and Goddard A (1998) An Interpretive Inquiry of Accounting Practices in Religious Organisations. </w:t>
      </w:r>
      <w:r w:rsidRPr="00470C06">
        <w:rPr>
          <w:rFonts w:hAnsi="Times New Roman" w:cs="Times New Roman"/>
          <w:i/>
          <w:iCs/>
          <w:lang w:val="en-NZ"/>
        </w:rPr>
        <w:t>Financial Accountability and Management</w:t>
      </w:r>
      <w:r w:rsidRPr="00470C06">
        <w:rPr>
          <w:rFonts w:hAnsi="Times New Roman" w:cs="Times New Roman"/>
          <w:lang w:val="en-NZ"/>
        </w:rPr>
        <w:t xml:space="preserve">, </w:t>
      </w:r>
      <w:r w:rsidRPr="00470C06">
        <w:rPr>
          <w:rFonts w:hAnsi="Times New Roman" w:cs="Times New Roman"/>
          <w:i/>
          <w:iCs/>
          <w:lang w:val="en-NZ"/>
        </w:rPr>
        <w:t>14</w:t>
      </w:r>
      <w:r w:rsidRPr="00470C06">
        <w:rPr>
          <w:rFonts w:hAnsi="Times New Roman" w:cs="Times New Roman"/>
          <w:lang w:val="en-NZ"/>
        </w:rPr>
        <w:t>(August): 183–201.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Aho J (2005) </w:t>
      </w:r>
      <w:r w:rsidRPr="00470C06">
        <w:rPr>
          <w:rFonts w:hAnsi="Times New Roman" w:cs="Times New Roman"/>
          <w:i/>
          <w:iCs/>
          <w:lang w:val="en-NZ"/>
        </w:rPr>
        <w:t>Confession and Bookkeeping: The Religious, Moral and Rhetorical Roots of Modern Accounting</w:t>
      </w:r>
      <w:r w:rsidRPr="00470C06">
        <w:rPr>
          <w:rFonts w:hAnsi="Times New Roman" w:cs="Times New Roman"/>
          <w:lang w:val="en-NZ"/>
        </w:rPr>
        <w:t xml:space="preserve"> (p. 131). Albany, NY: State University of New York Press.</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Alvarez-Dardet Espejo C, Lopez Manjon JD and Baños-Sánchez Matamoros J (2006) Accounting at the boundaries of the sacred: the regulation of the Spanish brotherhoods in the eighteenth century.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129–150. doi:10.1177/1032373206063110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Antonelli V and D’Alessio R (2014) Accounting History as a local discipline: the case of the Italian-speaking literature (1869-2008).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41</w:t>
      </w:r>
      <w:r w:rsidRPr="00470C06">
        <w:rPr>
          <w:rFonts w:hAnsi="Times New Roman" w:cs="Times New Roman"/>
          <w:lang w:val="en-NZ"/>
        </w:rPr>
        <w:t>(1): 79–112.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Badshah I, Mellemvik F and Timoshenko K (2013) Accounting from a Religious Perspective: A Case of the Central Government Accounting in Islamic Republic of Pakistan. </w:t>
      </w:r>
      <w:r w:rsidRPr="00470C06">
        <w:rPr>
          <w:rFonts w:hAnsi="Times New Roman" w:cs="Times New Roman"/>
          <w:i/>
          <w:iCs/>
          <w:lang w:val="en-NZ"/>
        </w:rPr>
        <w:t>Asian Economic and Financial Review</w:t>
      </w:r>
      <w:r w:rsidRPr="00470C06">
        <w:rPr>
          <w:rFonts w:hAnsi="Times New Roman" w:cs="Times New Roman"/>
          <w:lang w:val="en-NZ"/>
        </w:rPr>
        <w:t xml:space="preserve">, </w:t>
      </w:r>
      <w:r w:rsidRPr="00470C06">
        <w:rPr>
          <w:rFonts w:hAnsi="Times New Roman" w:cs="Times New Roman"/>
          <w:i/>
          <w:iCs/>
          <w:lang w:val="en-NZ"/>
        </w:rPr>
        <w:t>3</w:t>
      </w:r>
      <w:r w:rsidRPr="00470C06">
        <w:rPr>
          <w:rFonts w:hAnsi="Times New Roman" w:cs="Times New Roman"/>
          <w:lang w:val="en-NZ"/>
        </w:rPr>
        <w:t>(2): 243–258.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Baker CR (2006) Towards a genealogy of wealth through an analysis of biblical discourses.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151–171. doi:10.1177/1032373206063112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Baños-Sánchez Matamoros J and Gutiérrez-Hidalgo F (2010) Patterns of Accounting History Literature: movements at the beginning of the 21st Century.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37</w:t>
      </w:r>
      <w:r w:rsidRPr="00470C06">
        <w:rPr>
          <w:rFonts w:hAnsi="Times New Roman" w:cs="Times New Roman"/>
          <w:lang w:val="en-NZ"/>
        </w:rPr>
        <w:t>(2): 123–144.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Barlev B (2006) A Biblical statement of accountability.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173–197. doi:10.1177/1032373206063113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Bigoni M, Deidda Gagliardo E and Funnell W (2013) Rethinking the sacred and secular divide: Accounting and accountability practices in the Diocese of Ferrara (1431-1457).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26</w:t>
      </w:r>
      <w:r w:rsidRPr="00470C06">
        <w:rPr>
          <w:rFonts w:hAnsi="Times New Roman" w:cs="Times New Roman"/>
          <w:lang w:val="en-NZ"/>
        </w:rPr>
        <w:t>(4): 567–594. doi:10.1108/09513571311327462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Bigoni M and Funnell W (2015) Ancestors of governmentality: Accounting and pastoral power in the 15th century. </w:t>
      </w:r>
      <w:r w:rsidRPr="00470C06">
        <w:rPr>
          <w:rFonts w:hAnsi="Times New Roman" w:cs="Times New Roman"/>
          <w:i/>
          <w:iCs/>
          <w:lang w:val="en-NZ"/>
        </w:rPr>
        <w:t>Critical Perspectives on Accounting</w:t>
      </w:r>
      <w:r w:rsidRPr="00470C06">
        <w:rPr>
          <w:rFonts w:hAnsi="Times New Roman" w:cs="Times New Roman"/>
          <w:lang w:val="en-NZ"/>
        </w:rPr>
        <w:t xml:space="preserve">, </w:t>
      </w:r>
      <w:r w:rsidRPr="00470C06">
        <w:rPr>
          <w:rFonts w:hAnsi="Times New Roman" w:cs="Times New Roman"/>
          <w:i/>
          <w:iCs/>
          <w:lang w:val="en-NZ"/>
        </w:rPr>
        <w:t>forthcoming:</w:t>
      </w:r>
      <w:r w:rsidRPr="00470C06">
        <w:rPr>
          <w:rFonts w:hAnsi="Times New Roman" w:cs="Times New Roman"/>
          <w:lang w:val="en-NZ"/>
        </w:rPr>
        <w:t xml:space="preserve"> 1–17. doi:10.1016/j.cpa.2014.05.001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Bisaschi A (2003) The accounting system of the Venerable Society of the Living and the Dead of Parma in medieval times.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8</w:t>
      </w:r>
      <w:r w:rsidRPr="00470C06">
        <w:rPr>
          <w:rFonts w:hAnsi="Times New Roman" w:cs="Times New Roman"/>
          <w:lang w:val="en-NZ"/>
        </w:rPr>
        <w:t>(1): 89–111.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Bisman JE (2012) Surveying the landscape: The first 15 years of Accounting History as an international journal.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(1): 5–34. doi:10.1177/1032373211424883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Booth P (1993) Accounting in churches: a research framework and agenda.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6</w:t>
      </w:r>
      <w:r w:rsidRPr="00470C06">
        <w:rPr>
          <w:rFonts w:hAnsi="Times New Roman" w:cs="Times New Roman"/>
          <w:lang w:val="en-NZ"/>
        </w:rPr>
        <w:t>(4): 37–67.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Bracci E, Maran L and Vagnoni E (2010) Saint Anna’s Hospital in Ferrara, Italy: Accounting and organizational change during the Devolution.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15</w:t>
      </w:r>
      <w:r w:rsidRPr="00470C06">
        <w:rPr>
          <w:rFonts w:hAnsi="Times New Roman" w:cs="Times New Roman"/>
          <w:lang w:val="en-NZ"/>
        </w:rPr>
        <w:t>(4): 463–504. doi:10.1177/1032373210379757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Broadbent J, Dietrich M and Laughlin R (1996) The development of principal-agent, contracting and accountability relationships in the public sector: conceptual and cultural problems. </w:t>
      </w:r>
      <w:r w:rsidRPr="00470C06">
        <w:rPr>
          <w:rFonts w:hAnsi="Times New Roman" w:cs="Times New Roman"/>
          <w:i/>
          <w:iCs/>
          <w:lang w:val="en-NZ"/>
        </w:rPr>
        <w:t>Critical Perspectives on Accounting</w:t>
      </w:r>
      <w:r w:rsidRPr="00470C06">
        <w:rPr>
          <w:rFonts w:hAnsi="Times New Roman" w:cs="Times New Roman"/>
          <w:lang w:val="en-NZ"/>
        </w:rPr>
        <w:t>, 7: 259–284.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Carmona S and Ezzamel M (2006) Accounting and religion: a historical perspective.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117–127. doi:10.1177/1032373206063109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Carmona S and Ezzamel M (2009) Religion. In J. R. Edwards &amp; S. P. Walker (Eds.), </w:t>
      </w:r>
      <w:r w:rsidRPr="00470C06">
        <w:rPr>
          <w:rFonts w:hAnsi="Times New Roman" w:cs="Times New Roman"/>
          <w:i/>
          <w:iCs/>
          <w:lang w:val="en-NZ"/>
        </w:rPr>
        <w:t>The Routledge Companion to Accounting History</w:t>
      </w:r>
      <w:r w:rsidRPr="00470C06">
        <w:rPr>
          <w:rFonts w:hAnsi="Times New Roman" w:cs="Times New Roman"/>
          <w:lang w:val="en-NZ"/>
        </w:rPr>
        <w:t xml:space="preserve"> (p</w:t>
      </w:r>
      <w:r w:rsidR="00A43A9A">
        <w:rPr>
          <w:rFonts w:hAnsi="Times New Roman" w:cs="Times New Roman"/>
          <w:lang w:val="en-NZ"/>
        </w:rPr>
        <w:t>p</w:t>
      </w:r>
      <w:r w:rsidRPr="00470C06">
        <w:rPr>
          <w:rFonts w:hAnsi="Times New Roman" w:cs="Times New Roman"/>
          <w:lang w:val="en-NZ"/>
        </w:rPr>
        <w:t xml:space="preserve">. </w:t>
      </w:r>
      <w:r w:rsidR="00633C2C">
        <w:rPr>
          <w:rFonts w:hAnsi="Times New Roman" w:cs="Times New Roman"/>
          <w:lang w:val="en-NZ"/>
        </w:rPr>
        <w:t>503-523</w:t>
      </w:r>
      <w:r w:rsidRPr="00470C06">
        <w:rPr>
          <w:rFonts w:hAnsi="Times New Roman" w:cs="Times New Roman"/>
          <w:lang w:val="en-NZ"/>
        </w:rPr>
        <w:t>). Oxford: Routledge.</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Carnegie GD (2012) The special issue: </w:t>
      </w:r>
      <w:r w:rsidRPr="00470C06">
        <w:rPr>
          <w:rFonts w:hAnsi="Times New Roman" w:cs="Times New Roman"/>
          <w:i/>
          <w:iCs/>
          <w:lang w:val="en-NZ"/>
        </w:rPr>
        <w:t>AAAJ</w:t>
      </w:r>
      <w:r w:rsidRPr="00470C06">
        <w:rPr>
          <w:rFonts w:hAnsi="Times New Roman" w:cs="Times New Roman"/>
          <w:lang w:val="en-NZ"/>
        </w:rPr>
        <w:t xml:space="preserve"> and research innovation.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25</w:t>
      </w:r>
      <w:r w:rsidRPr="00470C06">
        <w:rPr>
          <w:rFonts w:hAnsi="Times New Roman" w:cs="Times New Roman"/>
          <w:lang w:val="en-NZ"/>
        </w:rPr>
        <w:t>(2): 216–227. doi:10.1108/09513571211198809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Carnegie GD (2014). The present and future of accounting history.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27</w:t>
      </w:r>
      <w:r w:rsidRPr="00470C06">
        <w:rPr>
          <w:rFonts w:hAnsi="Times New Roman" w:cs="Times New Roman"/>
          <w:lang w:val="en-NZ"/>
        </w:rPr>
        <w:t>(8): 1241–1249. doi:10.1108/AAAJ-05-2014-1715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Carnegie GD and Napier CJ (2012) Accounting’s past, present and future: the unifying power of history.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25</w:t>
      </w:r>
      <w:r w:rsidRPr="00470C06">
        <w:rPr>
          <w:rFonts w:hAnsi="Times New Roman" w:cs="Times New Roman"/>
          <w:lang w:val="en-NZ"/>
        </w:rPr>
        <w:t>(2): 328–369. doi:10.1108/09513571211198782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Carnegie GD and Potter BN (2000) Publishing Patterns in Specialist Accounting History Journals in the English Language, 1996-1999.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27</w:t>
      </w:r>
      <w:r w:rsidRPr="00470C06">
        <w:rPr>
          <w:rFonts w:hAnsi="Times New Roman" w:cs="Times New Roman"/>
          <w:lang w:val="en-NZ"/>
        </w:rPr>
        <w:t>(2): 177–198.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Carruthers BG and Espeland WN (1991) Accounting for Rationality: Double-Entry Bookkeeping and the Rhetoric of Economic Rationality. </w:t>
      </w:r>
      <w:r w:rsidRPr="00470C06">
        <w:rPr>
          <w:rFonts w:hAnsi="Times New Roman" w:cs="Times New Roman"/>
          <w:i/>
          <w:iCs/>
          <w:lang w:val="en-NZ"/>
        </w:rPr>
        <w:t>American Journal of Sociology</w:t>
      </w:r>
      <w:r w:rsidRPr="00470C06">
        <w:rPr>
          <w:rFonts w:hAnsi="Times New Roman" w:cs="Times New Roman"/>
          <w:lang w:val="en-NZ"/>
        </w:rPr>
        <w:t xml:space="preserve">, </w:t>
      </w:r>
      <w:r w:rsidRPr="00470C06">
        <w:rPr>
          <w:rFonts w:hAnsi="Times New Roman" w:cs="Times New Roman"/>
          <w:i/>
          <w:iCs/>
          <w:lang w:val="en-NZ"/>
        </w:rPr>
        <w:t>97</w:t>
      </w:r>
      <w:r w:rsidRPr="00470C06">
        <w:rPr>
          <w:rFonts w:hAnsi="Times New Roman" w:cs="Times New Roman"/>
          <w:lang w:val="en-NZ"/>
        </w:rPr>
        <w:t>(1): 31–69.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Cinquini L, Marelli A and Tenucci A (2008) An Analysis of Publishing Patterns in Accouting Research in Italy, 1990-2004.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35</w:t>
      </w:r>
      <w:r w:rsidRPr="00470C06">
        <w:rPr>
          <w:rFonts w:hAnsi="Times New Roman" w:cs="Times New Roman"/>
          <w:lang w:val="en-NZ"/>
        </w:rPr>
        <w:t>(1): 1–48.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Cordery CJ (2006) Hallowed treasures: sacred, secular and the Wesleyan Methodists in New Zealand, 1819-1840.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199–220. doi:10.1177/1032373206063114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Costa E and Ramus T (2011) The Italian Economia Aziendale and Catholic Social Teaching: How to Apply the Common Good Principle at the Managerial Level. </w:t>
      </w:r>
      <w:r w:rsidRPr="00470C06">
        <w:rPr>
          <w:rFonts w:hAnsi="Times New Roman" w:cs="Times New Roman"/>
          <w:i/>
          <w:iCs/>
          <w:lang w:val="en-NZ"/>
        </w:rPr>
        <w:t>Journal of Business Ethics</w:t>
      </w:r>
      <w:r w:rsidRPr="00470C06">
        <w:rPr>
          <w:rFonts w:hAnsi="Times New Roman" w:cs="Times New Roman"/>
          <w:lang w:val="en-NZ"/>
        </w:rPr>
        <w:t xml:space="preserve">, </w:t>
      </w:r>
      <w:r w:rsidRPr="00470C06">
        <w:rPr>
          <w:rFonts w:hAnsi="Times New Roman" w:cs="Times New Roman"/>
          <w:i/>
          <w:iCs/>
          <w:lang w:val="en-NZ"/>
        </w:rPr>
        <w:t>106</w:t>
      </w:r>
      <w:r w:rsidRPr="00470C06">
        <w:rPr>
          <w:rFonts w:hAnsi="Times New Roman" w:cs="Times New Roman"/>
          <w:lang w:val="en-NZ"/>
        </w:rPr>
        <w:t>(1): 103–116. doi:10.1007/s10551-011-1056-x</w:t>
      </w:r>
    </w:p>
    <w:p w:rsidR="00366B6D"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Crawford L, Morgan GG, Cordery CJ and Breen OB (2014) </w:t>
      </w:r>
      <w:r w:rsidRPr="00470C06">
        <w:rPr>
          <w:rFonts w:hAnsi="Times New Roman" w:cs="Times New Roman"/>
          <w:i/>
          <w:iCs/>
          <w:lang w:val="en-NZ"/>
        </w:rPr>
        <w:t>International financial reporting for the not-for-profit sector: a study commissioned by the CCAB</w:t>
      </w:r>
      <w:r w:rsidRPr="00470C06">
        <w:rPr>
          <w:rFonts w:hAnsi="Times New Roman" w:cs="Times New Roman"/>
          <w:lang w:val="en-NZ"/>
        </w:rPr>
        <w:t xml:space="preserve"> (p. 137). London, UK.</w:t>
      </w:r>
    </w:p>
    <w:p w:rsidR="00B23874" w:rsidRPr="00B23874" w:rsidRDefault="00B23874" w:rsidP="00B23874">
      <w:pPr>
        <w:pStyle w:val="NormalWeb"/>
        <w:spacing w:line="276" w:lineRule="auto"/>
        <w:ind w:left="480" w:hanging="480"/>
        <w:rPr>
          <w:rFonts w:hAnsi="Times New Roman" w:cs="Times New Roman"/>
          <w:lang w:val="en-NZ"/>
        </w:rPr>
      </w:pPr>
    </w:p>
    <w:p w:rsidR="00B23874" w:rsidRPr="00B23874" w:rsidRDefault="00B23874" w:rsidP="00B23874">
      <w:pPr>
        <w:pStyle w:val="NormalWeb"/>
        <w:spacing w:line="276" w:lineRule="auto"/>
        <w:ind w:left="480" w:hanging="480"/>
        <w:rPr>
          <w:rFonts w:hAnsi="Times New Roman" w:cs="Times New Roman"/>
          <w:lang w:val="en-NZ"/>
        </w:rPr>
      </w:pPr>
      <w:r w:rsidRPr="00B23874">
        <w:rPr>
          <w:rFonts w:hAnsi="Times New Roman" w:cs="Times New Roman"/>
          <w:lang w:val="en-NZ"/>
        </w:rPr>
        <w:t xml:space="preserve">Crittenden WF (2000) Spinning Straw into Gold: the Tenuous Strategy, Funding, and Financial Performance Linkage. </w:t>
      </w:r>
      <w:r w:rsidRPr="00B23874">
        <w:rPr>
          <w:rFonts w:hAnsi="Times New Roman" w:cs="Times New Roman"/>
          <w:i/>
          <w:lang w:val="en-NZ"/>
        </w:rPr>
        <w:t>Nonprofit and Voluntary Sector Quarterly</w:t>
      </w:r>
      <w:r w:rsidRPr="00B23874">
        <w:rPr>
          <w:rFonts w:hAnsi="Times New Roman" w:cs="Times New Roman"/>
          <w:lang w:val="en-NZ"/>
        </w:rPr>
        <w:t>, 29(1)</w:t>
      </w:r>
      <w:r>
        <w:rPr>
          <w:rFonts w:hAnsi="Times New Roman" w:cs="Times New Roman"/>
          <w:lang w:val="en-NZ"/>
        </w:rPr>
        <w:t>:</w:t>
      </w:r>
      <w:r w:rsidRPr="00B23874">
        <w:rPr>
          <w:rFonts w:hAnsi="Times New Roman" w:cs="Times New Roman"/>
          <w:lang w:val="en-NZ"/>
        </w:rPr>
        <w:t xml:space="preserve"> 164–182. doi:10.1177/089976400773746382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De Serra Faria ARS (2008) An analysis of accounting history research in Portugal: 1990-2004.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(3): 353–382. doi:10.1177/1032373208091532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Derks H (2008) Religion, capitalism and the rise of double-entry bookkeeping. </w:t>
      </w:r>
      <w:r w:rsidRPr="00470C06">
        <w:rPr>
          <w:rFonts w:hAnsi="Times New Roman" w:cs="Times New Roman"/>
          <w:i/>
          <w:iCs/>
          <w:lang w:val="en-NZ"/>
        </w:rPr>
        <w:t>Accounting, Business &amp; Financial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187–213. doi:10.1080/09585200802058735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Dixon K and Gaffikin M (2013) Accounting practices as social technologies of colonialistic outreach from London, Washington, et Cetera. </w:t>
      </w:r>
      <w:r w:rsidRPr="00470C06">
        <w:rPr>
          <w:rFonts w:hAnsi="Times New Roman" w:cs="Times New Roman"/>
          <w:i/>
          <w:iCs/>
          <w:lang w:val="en-NZ"/>
        </w:rPr>
        <w:t>Critical Perspectives on Accounting</w:t>
      </w:r>
      <w:r w:rsidRPr="00470C06">
        <w:rPr>
          <w:rFonts w:hAnsi="Times New Roman" w:cs="Times New Roman"/>
          <w:lang w:val="en-NZ"/>
        </w:rPr>
        <w:t xml:space="preserve">, </w:t>
      </w:r>
      <w:r w:rsidRPr="00470C06">
        <w:rPr>
          <w:rFonts w:hAnsi="Times New Roman" w:cs="Times New Roman"/>
          <w:i/>
          <w:iCs/>
          <w:lang w:val="en-NZ"/>
        </w:rPr>
        <w:t>25</w:t>
      </w:r>
      <w:r w:rsidRPr="00470C06">
        <w:rPr>
          <w:rFonts w:hAnsi="Times New Roman" w:cs="Times New Roman"/>
          <w:lang w:val="en-NZ"/>
        </w:rPr>
        <w:t>(8): 683–708. doi:10.1016/j.cpa.2013.11.001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Dobie A (2008a) An Analysis of the Bursars’ Accounts at Durham Cathedral Priory, 1278-1398.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35</w:t>
      </w:r>
      <w:r w:rsidRPr="00470C06">
        <w:rPr>
          <w:rFonts w:hAnsi="Times New Roman" w:cs="Times New Roman"/>
          <w:lang w:val="en-NZ"/>
        </w:rPr>
        <w:t>(2): 181–208.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Dobie A (2008b) The development of financial management and control in monastic houses and estates in England c. 1200–1540. </w:t>
      </w:r>
      <w:r w:rsidRPr="00470C06">
        <w:rPr>
          <w:rFonts w:hAnsi="Times New Roman" w:cs="Times New Roman"/>
          <w:i/>
          <w:iCs/>
          <w:lang w:val="en-NZ"/>
        </w:rPr>
        <w:t>Accounting, Business &amp; Financial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141–159. doi:10.1080/09585200802058677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Dobie A (2011) A review of the granators’ accounts of Durham Cathedral Priory 1294-1433: an early example of process accounting? </w:t>
      </w:r>
      <w:r w:rsidRPr="00470C06">
        <w:rPr>
          <w:rFonts w:hAnsi="Times New Roman" w:cs="Times New Roman"/>
          <w:i/>
          <w:iCs/>
          <w:lang w:val="en-NZ"/>
        </w:rPr>
        <w:t>Accounting History Review</w:t>
      </w:r>
      <w:r w:rsidRPr="00470C06">
        <w:rPr>
          <w:rFonts w:hAnsi="Times New Roman" w:cs="Times New Roman"/>
          <w:lang w:val="en-NZ"/>
        </w:rPr>
        <w:t xml:space="preserve">, </w:t>
      </w:r>
      <w:r w:rsidRPr="00470C06">
        <w:rPr>
          <w:rFonts w:hAnsi="Times New Roman" w:cs="Times New Roman"/>
          <w:i/>
          <w:iCs/>
          <w:lang w:val="en-NZ"/>
        </w:rPr>
        <w:t>21</w:t>
      </w:r>
      <w:r w:rsidRPr="00470C06">
        <w:rPr>
          <w:rFonts w:hAnsi="Times New Roman" w:cs="Times New Roman"/>
          <w:lang w:val="en-NZ"/>
        </w:rPr>
        <w:t>(1): 7–35. doi:10.1080/21552851.2011.548178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Durkheim E (1976) </w:t>
      </w:r>
      <w:r w:rsidRPr="00470C06">
        <w:rPr>
          <w:rFonts w:hAnsi="Times New Roman" w:cs="Times New Roman"/>
          <w:i/>
          <w:iCs/>
          <w:lang w:val="en-NZ"/>
        </w:rPr>
        <w:t>The Elementary Forms of the Religious Life</w:t>
      </w:r>
      <w:r w:rsidRPr="00470C06">
        <w:rPr>
          <w:rFonts w:hAnsi="Times New Roman" w:cs="Times New Roman"/>
          <w:lang w:val="en-NZ"/>
        </w:rPr>
        <w:t>. (J. W. T. Sawin, Ed.) (2nd ed.). London, UK: George Allen and Unwin.</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Dyck B (2013) </w:t>
      </w:r>
      <w:r w:rsidRPr="00470C06">
        <w:rPr>
          <w:rFonts w:hAnsi="Times New Roman" w:cs="Times New Roman"/>
          <w:i/>
          <w:iCs/>
          <w:lang w:val="en-NZ"/>
        </w:rPr>
        <w:t>Management and the Gospel: Luke’s radical message for the first and twenty-first centuries</w:t>
      </w:r>
      <w:r w:rsidRPr="00470C06">
        <w:rPr>
          <w:rFonts w:hAnsi="Times New Roman" w:cs="Times New Roman"/>
          <w:lang w:val="en-NZ"/>
        </w:rPr>
        <w:t>. New York, NY: Palgrave Macmillan.</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Dyck B (2014) God on Management: The World’s Largest Religions, The “Theological Turn”. and Organization and Management Theory and Practice. In M. Lounsbury, P. Tracey, &amp; N. Phillips (Eds.), </w:t>
      </w:r>
      <w:r w:rsidRPr="00470C06">
        <w:rPr>
          <w:rFonts w:hAnsi="Times New Roman" w:cs="Times New Roman"/>
          <w:i/>
          <w:iCs/>
          <w:lang w:val="en-NZ"/>
        </w:rPr>
        <w:t>Religion and Organization Theory</w:t>
      </w:r>
      <w:r w:rsidRPr="00470C06">
        <w:rPr>
          <w:rFonts w:hAnsi="Times New Roman" w:cs="Times New Roman"/>
          <w:lang w:val="en-NZ"/>
        </w:rPr>
        <w:t xml:space="preserve"> (pp. 23–62). Bingley, UK: Emerald Group Publishing Ltd.</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Dyck B, Starke FA and Weimer JB (2012) Toward understanding management in first century Palestine. </w:t>
      </w:r>
      <w:r w:rsidRPr="00470C06">
        <w:rPr>
          <w:rFonts w:hAnsi="Times New Roman" w:cs="Times New Roman"/>
          <w:i/>
          <w:iCs/>
          <w:lang w:val="en-NZ"/>
        </w:rPr>
        <w:t>Journal of Management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137–165. doi:10.1108/17511341211206825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Eliade M (1959) </w:t>
      </w:r>
      <w:r w:rsidRPr="00470C06">
        <w:rPr>
          <w:rFonts w:hAnsi="Times New Roman" w:cs="Times New Roman"/>
          <w:i/>
          <w:iCs/>
          <w:lang w:val="en-NZ"/>
        </w:rPr>
        <w:t>The Sacred and the Profane: The Nature of Religion</w:t>
      </w:r>
      <w:r w:rsidRPr="00470C06">
        <w:rPr>
          <w:rFonts w:hAnsi="Times New Roman" w:cs="Times New Roman"/>
          <w:lang w:val="en-NZ"/>
        </w:rPr>
        <w:t>. (Translated from the French by Willard R.Trask, Ed.). New York, NY: Harcourt, Brace and World Inc.</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Elkington RL (2011) A Missional Church Model. </w:t>
      </w:r>
      <w:r w:rsidRPr="00470C06">
        <w:rPr>
          <w:rFonts w:hAnsi="Times New Roman" w:cs="Times New Roman"/>
          <w:i/>
          <w:iCs/>
          <w:lang w:val="en-NZ"/>
        </w:rPr>
        <w:t>SAGE Open</w:t>
      </w:r>
      <w:r w:rsidRPr="00470C06">
        <w:rPr>
          <w:rFonts w:hAnsi="Times New Roman" w:cs="Times New Roman"/>
          <w:lang w:val="en-NZ"/>
        </w:rPr>
        <w:t xml:space="preserve">, </w:t>
      </w:r>
      <w:r w:rsidRPr="00470C06">
        <w:rPr>
          <w:rFonts w:hAnsi="Times New Roman" w:cs="Times New Roman"/>
          <w:i/>
          <w:iCs/>
          <w:lang w:val="en-NZ"/>
        </w:rPr>
        <w:t>1</w:t>
      </w:r>
      <w:r w:rsidRPr="00470C06">
        <w:rPr>
          <w:rFonts w:hAnsi="Times New Roman" w:cs="Times New Roman"/>
          <w:lang w:val="en-NZ"/>
        </w:rPr>
        <w:t>(3): 1–11. doi:10.1177/2158244011428086</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Ezzamel M (1997) Accounting, control and accountability: Preliminary evidence from ancient Egypt. </w:t>
      </w:r>
      <w:r w:rsidRPr="00470C06">
        <w:rPr>
          <w:rFonts w:hAnsi="Times New Roman" w:cs="Times New Roman"/>
          <w:i/>
          <w:iCs/>
          <w:lang w:val="en-NZ"/>
        </w:rPr>
        <w:t>Critical Perspectives on Accounting</w:t>
      </w:r>
      <w:r w:rsidRPr="00470C06">
        <w:rPr>
          <w:rFonts w:hAnsi="Times New Roman" w:cs="Times New Roman"/>
          <w:lang w:val="en-NZ"/>
        </w:rPr>
        <w:t xml:space="preserve">, </w:t>
      </w:r>
      <w:r w:rsidRPr="00470C06">
        <w:rPr>
          <w:rFonts w:hAnsi="Times New Roman" w:cs="Times New Roman"/>
          <w:i/>
          <w:iCs/>
          <w:lang w:val="en-NZ"/>
        </w:rPr>
        <w:t>8</w:t>
      </w:r>
      <w:r w:rsidRPr="00470C06">
        <w:rPr>
          <w:rFonts w:hAnsi="Times New Roman" w:cs="Times New Roman"/>
          <w:lang w:val="en-NZ"/>
        </w:rPr>
        <w:t>(6): 563–601.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Ezzamel M (2005). Accounting for the activities of funerary temples: the intertwining of the sacred and the profane. </w:t>
      </w:r>
      <w:r w:rsidRPr="00470C06">
        <w:rPr>
          <w:rFonts w:hAnsi="Times New Roman" w:cs="Times New Roman"/>
          <w:i/>
          <w:iCs/>
          <w:lang w:val="en-NZ"/>
        </w:rPr>
        <w:t>Accounting and Business Research</w:t>
      </w:r>
      <w:r w:rsidRPr="00470C06">
        <w:rPr>
          <w:rFonts w:hAnsi="Times New Roman" w:cs="Times New Roman"/>
          <w:lang w:val="en-NZ"/>
        </w:rPr>
        <w:t xml:space="preserve">, </w:t>
      </w:r>
      <w:r w:rsidRPr="00470C06">
        <w:rPr>
          <w:rFonts w:hAnsi="Times New Roman" w:cs="Times New Roman"/>
          <w:i/>
          <w:iCs/>
          <w:lang w:val="en-NZ"/>
        </w:rPr>
        <w:t>35</w:t>
      </w:r>
      <w:r w:rsidRPr="00470C06">
        <w:rPr>
          <w:rFonts w:hAnsi="Times New Roman" w:cs="Times New Roman"/>
          <w:lang w:val="en-NZ"/>
        </w:rPr>
        <w:t>(1): 29–51.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Ezzamel M (2009) Order and accounting as a performative ritual: Evidence from ancient Egypt.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34</w:t>
      </w:r>
      <w:r w:rsidRPr="00470C06">
        <w:rPr>
          <w:rFonts w:hAnsi="Times New Roman" w:cs="Times New Roman"/>
          <w:lang w:val="en-NZ"/>
        </w:rPr>
        <w:t>(3-4): 348–380. doi:10.1016/j.aos.2008.07.004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Faircloth A (1988) The importance of accounting to the Shakers.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15</w:t>
      </w:r>
      <w:r w:rsidRPr="00470C06">
        <w:rPr>
          <w:rFonts w:hAnsi="Times New Roman" w:cs="Times New Roman"/>
          <w:lang w:val="en-NZ"/>
        </w:rPr>
        <w:t>(2): 99–129.</w:t>
      </w:r>
    </w:p>
    <w:p w:rsidR="00085651" w:rsidRDefault="00085651" w:rsidP="00470C06">
      <w:pPr>
        <w:pStyle w:val="NormalWeb"/>
        <w:spacing w:line="276" w:lineRule="auto"/>
        <w:ind w:left="480" w:hanging="480"/>
        <w:rPr>
          <w:rFonts w:hAnsi="Times New Roman" w:cs="Times New Roman"/>
          <w:lang w:val="en-NZ"/>
        </w:rPr>
      </w:pPr>
      <w:r>
        <w:rPr>
          <w:rFonts w:hAnsi="Times New Roman" w:cs="Times New Roman"/>
          <w:lang w:val="en-NZ"/>
        </w:rPr>
        <w:t xml:space="preserve">Fishman A and Goldschmidt Y (1990) The orthodox kibbutzim and economic success. </w:t>
      </w:r>
      <w:r w:rsidRPr="00085651">
        <w:rPr>
          <w:rFonts w:hAnsi="Times New Roman" w:cs="Times New Roman"/>
          <w:i/>
          <w:lang w:val="en-NZ"/>
        </w:rPr>
        <w:t>Journal for the Scientific Study of Religion</w:t>
      </w:r>
      <w:r>
        <w:rPr>
          <w:rFonts w:hAnsi="Times New Roman" w:cs="Times New Roman"/>
          <w:lang w:val="en-NZ"/>
        </w:rPr>
        <w:t>, 29(4): 505-511.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Fleischman RK and Radcliffe VS (2005) The Roaring Nineties: Accounting History Comes of Age.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32</w:t>
      </w:r>
      <w:r w:rsidRPr="00470C06">
        <w:rPr>
          <w:rFonts w:hAnsi="Times New Roman" w:cs="Times New Roman"/>
          <w:lang w:val="en-NZ"/>
        </w:rPr>
        <w:t>(1): 61–109.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Flesher TK and Flesher DL (1979) Managerial accounting in an early 19th century German-American religious commune.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4</w:t>
      </w:r>
      <w:r w:rsidRPr="00470C06">
        <w:rPr>
          <w:rFonts w:hAnsi="Times New Roman" w:cs="Times New Roman"/>
          <w:lang w:val="en-NZ"/>
        </w:rPr>
        <w:t>(4): 297–304.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Fonfeder R, Holtzman MP and Maccarrone E (2003) Internal controls in the Talmud: the Jerusalem temple.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30</w:t>
      </w:r>
      <w:r w:rsidRPr="00470C06">
        <w:rPr>
          <w:rFonts w:hAnsi="Times New Roman" w:cs="Times New Roman"/>
          <w:lang w:val="en-NZ"/>
        </w:rPr>
        <w:t>(1): 73–93.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Fowler C (2010) </w:t>
      </w:r>
      <w:r w:rsidRPr="00470C06">
        <w:rPr>
          <w:rFonts w:hAnsi="Times New Roman" w:cs="Times New Roman"/>
          <w:i/>
          <w:iCs/>
          <w:lang w:val="en-NZ"/>
        </w:rPr>
        <w:t>Financing, accounting and accountability in colonial New Zealand: The case of the Nelson School Society (1842-52)</w:t>
      </w:r>
      <w:r w:rsidRPr="00470C06">
        <w:rPr>
          <w:rFonts w:hAnsi="Times New Roman" w:cs="Times New Roman"/>
          <w:lang w:val="en-NZ"/>
        </w:rPr>
        <w:t xml:space="preserve">.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15</w:t>
      </w:r>
      <w:r w:rsidRPr="00470C06">
        <w:rPr>
          <w:rFonts w:hAnsi="Times New Roman" w:cs="Times New Roman"/>
          <w:lang w:val="en-NZ"/>
        </w:rPr>
        <w:t>(3): 337–369. doi:10.1177/1032373210368959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Froelich KA (1999) Diversification of Revenue Strategies: Evolving Resource Dependence in Nonprofit Organizations. </w:t>
      </w:r>
      <w:r w:rsidRPr="00470C06">
        <w:rPr>
          <w:rFonts w:hAnsi="Times New Roman" w:cs="Times New Roman"/>
          <w:i/>
          <w:iCs/>
          <w:lang w:val="en-NZ"/>
        </w:rPr>
        <w:t>Nonprofit and Voluntary Sector Quarterly</w:t>
      </w:r>
      <w:r w:rsidRPr="00470C06">
        <w:rPr>
          <w:rFonts w:hAnsi="Times New Roman" w:cs="Times New Roman"/>
          <w:lang w:val="en-NZ"/>
        </w:rPr>
        <w:t xml:space="preserve">, </w:t>
      </w:r>
      <w:r w:rsidRPr="00470C06">
        <w:rPr>
          <w:rFonts w:hAnsi="Times New Roman" w:cs="Times New Roman"/>
          <w:i/>
          <w:iCs/>
          <w:lang w:val="en-NZ"/>
        </w:rPr>
        <w:t>28</w:t>
      </w:r>
      <w:r w:rsidRPr="00470C06">
        <w:rPr>
          <w:rFonts w:hAnsi="Times New Roman" w:cs="Times New Roman"/>
          <w:lang w:val="en-NZ"/>
        </w:rPr>
        <w:t>(3): 246–268.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Fuglister J and Bloom R (1991) Accounting records of quakers of West Falmouth, Massachusetts (1796-1860): an analysis.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133–154.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Funnell W and Williams R (2014) The religious imperative of cost accounting in the early industrial revolution.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27</w:t>
      </w:r>
      <w:r w:rsidRPr="00470C06">
        <w:rPr>
          <w:rFonts w:hAnsi="Times New Roman" w:cs="Times New Roman"/>
          <w:lang w:val="en-NZ"/>
        </w:rPr>
        <w:t>(2): 357–381. doi:10.1108/AAAJ-03-2013-1269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Gallhofer S and Haslam J (2004) Accounting and liberation theology: Some insights for the project of emancipatory accounting.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(3): 382–407.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Gambling TE and Karim RAA (1986) Islam and ’Social Accounting'. </w:t>
      </w:r>
      <w:r w:rsidRPr="00470C06">
        <w:rPr>
          <w:rFonts w:hAnsi="Times New Roman" w:cs="Times New Roman"/>
          <w:i/>
          <w:iCs/>
          <w:lang w:val="en-NZ"/>
        </w:rPr>
        <w:t>Journal of Business Finance &amp; Accounting</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(Spring): 39–51. doi:10.1111/j.1468-5957.1986.tb01171.x</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Gao S and Handley-Schachler M (2003) The influences of Confucianism, Feng Shui and Buddhism in Chinese accounting history. </w:t>
      </w:r>
      <w:r w:rsidRPr="00470C06">
        <w:rPr>
          <w:rFonts w:hAnsi="Times New Roman" w:cs="Times New Roman"/>
          <w:i/>
          <w:iCs/>
          <w:lang w:val="en-NZ"/>
        </w:rPr>
        <w:t>Accounting, Business &amp; Financial History</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(1): 41–68. doi:10.1080/09585200210164566d</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Gatti M and Poli S (2014) Accounting and the Papal States: The influence of the Pro commissa Bull (1592) on the rise of an early modern state.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19</w:t>
      </w:r>
      <w:r w:rsidRPr="00470C06">
        <w:rPr>
          <w:rFonts w:hAnsi="Times New Roman" w:cs="Times New Roman"/>
          <w:lang w:val="en-NZ"/>
        </w:rPr>
        <w:t>(4): 475–506. doi:10.1177/1032373214550643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Hamid S, Craig R and Clarke F (1993) Religion: A Confounding Cultural Element in the International Harmonization of Accounting? </w:t>
      </w:r>
      <w:r w:rsidRPr="00470C06">
        <w:rPr>
          <w:rFonts w:hAnsi="Times New Roman" w:cs="Times New Roman"/>
          <w:i/>
          <w:iCs/>
          <w:lang w:val="en-NZ"/>
        </w:rPr>
        <w:t>Abacus</w:t>
      </w:r>
      <w:r w:rsidRPr="00470C06">
        <w:rPr>
          <w:rFonts w:hAnsi="Times New Roman" w:cs="Times New Roman"/>
          <w:lang w:val="en-NZ"/>
        </w:rPr>
        <w:t xml:space="preserve">, </w:t>
      </w:r>
      <w:r w:rsidRPr="00470C06">
        <w:rPr>
          <w:rFonts w:hAnsi="Times New Roman" w:cs="Times New Roman"/>
          <w:i/>
          <w:iCs/>
          <w:lang w:val="en-NZ"/>
        </w:rPr>
        <w:t>29</w:t>
      </w:r>
      <w:r w:rsidRPr="00470C06">
        <w:rPr>
          <w:rFonts w:hAnsi="Times New Roman" w:cs="Times New Roman"/>
          <w:lang w:val="en-NZ"/>
        </w:rPr>
        <w:t>(2): 131–148. doi:10.1111/j.1467-6281.1993.tb00427.x</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Hardy L and Ballis H (2005) Does one size fit all? The sacred and secular divide revisited with insights from Niebuhr’s typology of social action.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238–254.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Hardy L and Ballis H (2013) Accountability and giving accounts.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26</w:t>
      </w:r>
      <w:r w:rsidRPr="00470C06">
        <w:rPr>
          <w:rFonts w:hAnsi="Times New Roman" w:cs="Times New Roman"/>
          <w:lang w:val="en-NZ"/>
        </w:rPr>
        <w:t>(4): 539–566. doi:10.1108/09513571311327453</w:t>
      </w:r>
    </w:p>
    <w:p w:rsidR="00B23874" w:rsidRPr="00B23874" w:rsidRDefault="00B23874" w:rsidP="00B23874">
      <w:pPr>
        <w:pStyle w:val="NormalWeb"/>
        <w:spacing w:line="276" w:lineRule="auto"/>
        <w:ind w:left="480" w:hanging="480"/>
        <w:rPr>
          <w:rFonts w:hAnsi="Times New Roman" w:cs="Times New Roman"/>
          <w:lang w:val="en-NZ"/>
        </w:rPr>
      </w:pPr>
      <w:r w:rsidRPr="00B23874">
        <w:rPr>
          <w:rFonts w:hAnsi="Times New Roman" w:cs="Times New Roman"/>
          <w:lang w:val="en-NZ"/>
        </w:rPr>
        <w:t>Hatten</w:t>
      </w:r>
      <w:r>
        <w:rPr>
          <w:rFonts w:hAnsi="Times New Roman" w:cs="Times New Roman"/>
          <w:lang w:val="en-NZ"/>
        </w:rPr>
        <w:t xml:space="preserve"> M</w:t>
      </w:r>
      <w:r w:rsidRPr="00B23874">
        <w:rPr>
          <w:rFonts w:hAnsi="Times New Roman" w:cs="Times New Roman"/>
          <w:lang w:val="en-NZ"/>
        </w:rPr>
        <w:t xml:space="preserve"> L (1982) Strategic Management in Not-For- Profit Organizations. </w:t>
      </w:r>
      <w:r w:rsidRPr="00B23874">
        <w:rPr>
          <w:rFonts w:hAnsi="Times New Roman" w:cs="Times New Roman"/>
          <w:i/>
          <w:lang w:val="en-NZ"/>
        </w:rPr>
        <w:t>Strategic Management Journal</w:t>
      </w:r>
      <w:r w:rsidRPr="00B23874">
        <w:rPr>
          <w:rFonts w:hAnsi="Times New Roman" w:cs="Times New Roman"/>
          <w:lang w:val="en-NZ"/>
        </w:rPr>
        <w:t>, 3(2</w:t>
      </w:r>
      <w:r>
        <w:rPr>
          <w:rFonts w:hAnsi="Times New Roman" w:cs="Times New Roman"/>
          <w:lang w:val="en-NZ"/>
        </w:rPr>
        <w:t>):</w:t>
      </w:r>
      <w:r w:rsidRPr="00B23874">
        <w:rPr>
          <w:rFonts w:hAnsi="Times New Roman" w:cs="Times New Roman"/>
          <w:lang w:val="en-NZ"/>
        </w:rPr>
        <w:t xml:space="preserve"> 89–104.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Haynes K (2010) Other lives in accounting: Critical reflections on oral history methodology in action. </w:t>
      </w:r>
      <w:r w:rsidRPr="00470C06">
        <w:rPr>
          <w:rFonts w:hAnsi="Times New Roman" w:cs="Times New Roman"/>
          <w:i/>
          <w:iCs/>
          <w:lang w:val="en-NZ"/>
        </w:rPr>
        <w:t>Critical Perspectives on Accounting</w:t>
      </w:r>
      <w:r w:rsidRPr="00470C06">
        <w:rPr>
          <w:rFonts w:hAnsi="Times New Roman" w:cs="Times New Roman"/>
          <w:lang w:val="en-NZ"/>
        </w:rPr>
        <w:t xml:space="preserve">, </w:t>
      </w:r>
      <w:r w:rsidRPr="00470C06">
        <w:rPr>
          <w:rFonts w:hAnsi="Times New Roman" w:cs="Times New Roman"/>
          <w:i/>
          <w:iCs/>
          <w:lang w:val="en-NZ"/>
        </w:rPr>
        <w:t>21</w:t>
      </w:r>
      <w:r w:rsidRPr="00470C06">
        <w:rPr>
          <w:rFonts w:hAnsi="Times New Roman" w:cs="Times New Roman"/>
          <w:lang w:val="en-NZ"/>
        </w:rPr>
        <w:t>(3): 221–231. doi:10.1016/j.cpa.2009.11.002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Herda DN, Reed SA and Bowlin WF (2013) The Relationship between Religious Beliefs and the Accounting and Economic Practices of a Society: Evidence from the Dead Sea Scrolls.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40</w:t>
      </w:r>
      <w:r w:rsidRPr="00470C06">
        <w:rPr>
          <w:rFonts w:hAnsi="Times New Roman" w:cs="Times New Roman"/>
          <w:lang w:val="en-NZ"/>
        </w:rPr>
        <w:t>(2): 115–144.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Hiebl MRW and Feldbauer-Durstmüller B (2014) What can the corporate world learn from the cellarer? </w:t>
      </w:r>
      <w:r w:rsidRPr="00470C06">
        <w:rPr>
          <w:rFonts w:hAnsi="Times New Roman" w:cs="Times New Roman"/>
          <w:i/>
          <w:iCs/>
          <w:lang w:val="en-NZ"/>
        </w:rPr>
        <w:t>Society and Business Review</w:t>
      </w:r>
      <w:r w:rsidRPr="00470C06">
        <w:rPr>
          <w:rFonts w:hAnsi="Times New Roman" w:cs="Times New Roman"/>
          <w:lang w:val="en-NZ"/>
        </w:rPr>
        <w:t xml:space="preserve">, </w:t>
      </w:r>
      <w:r w:rsidRPr="00470C06">
        <w:rPr>
          <w:rFonts w:hAnsi="Times New Roman" w:cs="Times New Roman"/>
          <w:i/>
          <w:iCs/>
          <w:lang w:val="en-NZ"/>
        </w:rPr>
        <w:t>9</w:t>
      </w:r>
      <w:r w:rsidRPr="00470C06">
        <w:rPr>
          <w:rFonts w:hAnsi="Times New Roman" w:cs="Times New Roman"/>
          <w:lang w:val="en-NZ"/>
        </w:rPr>
        <w:t>(1): 51–73. doi:10.1108/SBR-12-2012-0050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H</w:t>
      </w:r>
      <w:r w:rsidR="00085651">
        <w:rPr>
          <w:rFonts w:hAnsi="Times New Roman" w:cs="Times New Roman"/>
          <w:lang w:val="en-NZ"/>
        </w:rPr>
        <w:t>o</w:t>
      </w:r>
      <w:r w:rsidRPr="00470C06">
        <w:rPr>
          <w:rFonts w:hAnsi="Times New Roman" w:cs="Times New Roman"/>
          <w:lang w:val="en-NZ"/>
        </w:rPr>
        <w:t xml:space="preserve">ng, MY (2014) The influence of Buddhism in accounting in medieval China. PhD thesis. Wollongong University. </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Hopwood AG (1983) On trying to study accounting in the contexts in which it operates. </w:t>
      </w:r>
      <w:r w:rsidRPr="00470C06">
        <w:rPr>
          <w:rFonts w:hAnsi="Times New Roman" w:cs="Times New Roman"/>
          <w:i/>
          <w:iCs/>
          <w:lang w:val="en-NZ"/>
        </w:rPr>
        <w:t>Accounting, Organizations and Society</w:t>
      </w:r>
      <w:r w:rsidRPr="00470C06">
        <w:rPr>
          <w:rFonts w:hAnsi="Times New Roman" w:cs="Times New Roman"/>
          <w:lang w:val="en-NZ"/>
        </w:rPr>
        <w:t>, 8(2/3): 287-305.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Irvine H (2002) The legitimizing power of financial statements in the Salvation Army in England, 1865-1892.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29</w:t>
      </w:r>
      <w:r w:rsidRPr="00470C06">
        <w:rPr>
          <w:rFonts w:hAnsi="Times New Roman" w:cs="Times New Roman"/>
          <w:lang w:val="en-NZ"/>
        </w:rPr>
        <w:t>(1): 1–36.</w:t>
      </w:r>
    </w:p>
    <w:p w:rsidR="00366B6D" w:rsidRPr="00470C06" w:rsidRDefault="000D1A57" w:rsidP="00470C06">
      <w:pPr>
        <w:pStyle w:val="NormalWeb"/>
        <w:spacing w:before="0" w:after="0" w:line="276" w:lineRule="auto"/>
        <w:ind w:left="480" w:hanging="480"/>
        <w:rPr>
          <w:rFonts w:hAnsi="Times New Roman" w:cs="Times New Roman"/>
          <w:lang w:val="en-NZ"/>
        </w:rPr>
      </w:pPr>
      <w:r w:rsidRPr="00470C06">
        <w:rPr>
          <w:rFonts w:hAnsi="Times New Roman" w:cs="Times New Roman"/>
          <w:lang w:val="en-NZ"/>
        </w:rPr>
        <w:t xml:space="preserve">Irvine H (2005) Balancing money and mission in a local church budget.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211–237.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Jacobs K (2005) The sacred and the secular: examining the role of accounting in the religious context.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(2): 189–210.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Jacobs K and Walker SP (2004) Accounting and accountability in the Iona Community.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(3): 361–381.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Jafri SHA and Margolis LS (1999) The treatment of usury in the holy scriptures. </w:t>
      </w:r>
      <w:r w:rsidRPr="00470C06">
        <w:rPr>
          <w:rFonts w:hAnsi="Times New Roman" w:cs="Times New Roman"/>
          <w:i/>
          <w:iCs/>
          <w:lang w:val="en-NZ"/>
        </w:rPr>
        <w:t>Thunderbird International Business Review</w:t>
      </w:r>
      <w:r w:rsidRPr="00470C06">
        <w:rPr>
          <w:rFonts w:hAnsi="Times New Roman" w:cs="Times New Roman"/>
          <w:lang w:val="en-NZ"/>
        </w:rPr>
        <w:t xml:space="preserve">, </w:t>
      </w:r>
      <w:r w:rsidRPr="00470C06">
        <w:rPr>
          <w:rFonts w:hAnsi="Times New Roman" w:cs="Times New Roman"/>
          <w:i/>
          <w:iCs/>
          <w:lang w:val="en-NZ"/>
        </w:rPr>
        <w:t>41</w:t>
      </w:r>
      <w:r w:rsidRPr="00470C06">
        <w:rPr>
          <w:rFonts w:hAnsi="Times New Roman" w:cs="Times New Roman"/>
          <w:lang w:val="en-NZ"/>
        </w:rPr>
        <w:t>(October): 371–379. Retrieved from http://doi.wiley.com/10.1002/tie.4270410405\npapers2://publication/doi/10.1002/tie.4270410405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Joannidès V and Berland N (2013) Constructing a research network: accounting knowledge in production.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26</w:t>
      </w:r>
      <w:r w:rsidRPr="00470C06">
        <w:rPr>
          <w:rFonts w:hAnsi="Times New Roman" w:cs="Times New Roman"/>
          <w:lang w:val="en-NZ"/>
        </w:rPr>
        <w:t>(4): 512–538. doi:10.1108/09513571311327444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Karim RAA (1990) The independence of religious and external auditors: The case of Islamic Banks.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3</w:t>
      </w:r>
      <w:r w:rsidRPr="00470C06">
        <w:rPr>
          <w:rFonts w:hAnsi="Times New Roman" w:cs="Times New Roman"/>
          <w:lang w:val="en-NZ"/>
        </w:rPr>
        <w:t>(3): 34–44.</w:t>
      </w:r>
    </w:p>
    <w:p w:rsidR="00C42AC5" w:rsidRPr="00C16AC9" w:rsidRDefault="00C42AC5" w:rsidP="00C42AC5">
      <w:pPr>
        <w:pStyle w:val="NormalWeb"/>
        <w:ind w:left="480" w:hanging="480"/>
        <w:rPr>
          <w:rFonts w:hAnsi="Times New Roman" w:cs="Times New Roman"/>
          <w:noProof/>
        </w:rPr>
      </w:pPr>
      <w:r w:rsidRPr="00C16AC9">
        <w:rPr>
          <w:rFonts w:hAnsi="Times New Roman" w:cs="Times New Roman"/>
          <w:noProof/>
        </w:rPr>
        <w:t xml:space="preserve">Kluvers R (2001) Budgeting in catholic parishes: an exploratory study. </w:t>
      </w:r>
      <w:r w:rsidRPr="00C16AC9">
        <w:rPr>
          <w:rFonts w:hAnsi="Times New Roman" w:cs="Times New Roman"/>
          <w:i/>
          <w:iCs/>
          <w:noProof/>
        </w:rPr>
        <w:t>Financial Accountability &amp; Management</w:t>
      </w:r>
      <w:r w:rsidRPr="00C16AC9">
        <w:rPr>
          <w:rFonts w:hAnsi="Times New Roman" w:cs="Times New Roman"/>
          <w:noProof/>
        </w:rPr>
        <w:t xml:space="preserve">, </w:t>
      </w:r>
      <w:r w:rsidRPr="00C16AC9">
        <w:rPr>
          <w:rFonts w:hAnsi="Times New Roman" w:cs="Times New Roman"/>
          <w:i/>
          <w:iCs/>
          <w:noProof/>
        </w:rPr>
        <w:t>17</w:t>
      </w:r>
      <w:r w:rsidRPr="00C16AC9">
        <w:rPr>
          <w:rFonts w:hAnsi="Times New Roman" w:cs="Times New Roman"/>
          <w:noProof/>
        </w:rPr>
        <w:t>(1)</w:t>
      </w:r>
      <w:r>
        <w:rPr>
          <w:rFonts w:hAnsi="Times New Roman" w:cs="Times New Roman"/>
          <w:noProof/>
        </w:rPr>
        <w:t>:</w:t>
      </w:r>
      <w:r w:rsidRPr="00C16AC9">
        <w:rPr>
          <w:rFonts w:hAnsi="Times New Roman" w:cs="Times New Roman"/>
          <w:noProof/>
        </w:rPr>
        <w:t xml:space="preserve"> 41–58.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Knouse SB, Hill VD and Hamilton III JB (2007) Curves in the high road: A historical analysis of the development of American business codes of ethics. </w:t>
      </w:r>
      <w:r w:rsidRPr="00470C06">
        <w:rPr>
          <w:rFonts w:hAnsi="Times New Roman" w:cs="Times New Roman"/>
          <w:i/>
          <w:iCs/>
          <w:lang w:val="en-NZ"/>
        </w:rPr>
        <w:t>Journal of Management History</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 xml:space="preserve"> 94–107. doi:10.1108/17511340710715197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Kreander N, McPhail K and Molyneaux D (2004) God’s Fund Managers: a critical study of stock market investment practices of the Church of England and UK Methodists.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(3): 408–441.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Kuasirikun N and Constable P (2010) The cosmology of accounting in mid 19th-century Thailand.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35</w:t>
      </w:r>
      <w:r w:rsidRPr="00470C06">
        <w:rPr>
          <w:rFonts w:hAnsi="Times New Roman" w:cs="Times New Roman"/>
          <w:lang w:val="en-NZ"/>
        </w:rPr>
        <w:t>(6): 596–627. doi:10.1016/j.aos.2010.01.004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Laughlin R (1988) Accounting in its social context: An analysis of the accounting systems of the Church of England.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w:t>
      </w:r>
      <w:r w:rsidRPr="00470C06">
        <w:rPr>
          <w:rFonts w:hAnsi="Times New Roman" w:cs="Times New Roman"/>
          <w:lang w:val="en-NZ"/>
        </w:rPr>
        <w:t>(2): 19–42.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Laughlin R (1990) A model of financial accountability and the Church of England. </w:t>
      </w:r>
      <w:r w:rsidRPr="00470C06">
        <w:rPr>
          <w:rFonts w:hAnsi="Times New Roman" w:cs="Times New Roman"/>
          <w:i/>
          <w:iCs/>
          <w:lang w:val="en-NZ"/>
        </w:rPr>
        <w:t>Financial Accountability &amp; Management</w:t>
      </w:r>
      <w:r w:rsidRPr="00470C06">
        <w:rPr>
          <w:rFonts w:hAnsi="Times New Roman" w:cs="Times New Roman"/>
          <w:lang w:val="en-NZ"/>
        </w:rPr>
        <w:t xml:space="preserve">, </w:t>
      </w:r>
      <w:r w:rsidRPr="00470C06">
        <w:rPr>
          <w:rFonts w:hAnsi="Times New Roman" w:cs="Times New Roman"/>
          <w:i/>
          <w:iCs/>
          <w:lang w:val="en-NZ"/>
        </w:rPr>
        <w:t>6</w:t>
      </w:r>
      <w:r w:rsidRPr="00470C06">
        <w:rPr>
          <w:rFonts w:hAnsi="Times New Roman" w:cs="Times New Roman"/>
          <w:lang w:val="en-NZ"/>
        </w:rPr>
        <w:t>(2): 93–114.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Laughlin R (2007) Critical reflections on research approaches, accounting regulation and the regulation of accounting. </w:t>
      </w:r>
      <w:r w:rsidRPr="00470C06">
        <w:rPr>
          <w:rFonts w:hAnsi="Times New Roman" w:cs="Times New Roman"/>
          <w:i/>
          <w:iCs/>
          <w:lang w:val="en-NZ"/>
        </w:rPr>
        <w:t>British Accounting Review</w:t>
      </w:r>
      <w:r w:rsidRPr="00470C06">
        <w:rPr>
          <w:rFonts w:hAnsi="Times New Roman" w:cs="Times New Roman"/>
          <w:lang w:val="en-NZ"/>
        </w:rPr>
        <w:t xml:space="preserve">, </w:t>
      </w:r>
      <w:r w:rsidRPr="00470C06">
        <w:rPr>
          <w:rFonts w:hAnsi="Times New Roman" w:cs="Times New Roman"/>
          <w:i/>
          <w:iCs/>
          <w:lang w:val="en-NZ"/>
        </w:rPr>
        <w:t>39:</w:t>
      </w:r>
      <w:r w:rsidRPr="00470C06">
        <w:rPr>
          <w:rFonts w:hAnsi="Times New Roman" w:cs="Times New Roman"/>
          <w:lang w:val="en-NZ"/>
        </w:rPr>
        <w:t xml:space="preserve"> 271–289. doi:10.1016/j.bar.2007.08.004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Leardini C and Rossi G (2013) Accounting and power in religious institutions: Verona’s Santa Maria della Scala monastery in the Middle Ages.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(3): 415–427. doi:10.1177/1032373213487336</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Lee GA (2006) The tithe rentcharge: a pioneer in income indexation. </w:t>
      </w:r>
      <w:r w:rsidRPr="00470C06">
        <w:rPr>
          <w:rFonts w:hAnsi="Times New Roman" w:cs="Times New Roman"/>
          <w:i/>
          <w:iCs/>
          <w:lang w:val="en-NZ"/>
        </w:rPr>
        <w:t>Accounting, Business &amp; Financial History</w:t>
      </w:r>
      <w:r w:rsidRPr="00470C06">
        <w:rPr>
          <w:rFonts w:hAnsi="Times New Roman" w:cs="Times New Roman"/>
          <w:lang w:val="en-NZ"/>
        </w:rPr>
        <w:t xml:space="preserve">, </w:t>
      </w:r>
      <w:r w:rsidRPr="00470C06">
        <w:rPr>
          <w:rFonts w:hAnsi="Times New Roman" w:cs="Times New Roman"/>
          <w:i/>
          <w:iCs/>
          <w:lang w:val="en-NZ"/>
        </w:rPr>
        <w:t>6</w:t>
      </w:r>
      <w:r w:rsidRPr="00470C06">
        <w:rPr>
          <w:rFonts w:hAnsi="Times New Roman" w:cs="Times New Roman"/>
          <w:lang w:val="en-NZ"/>
        </w:rPr>
        <w:t>(3): 301–313. doi:10.1080/09585209600000048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Lennell WM (1994) </w:t>
      </w:r>
      <w:r w:rsidRPr="00470C06">
        <w:rPr>
          <w:rFonts w:hAnsi="Times New Roman" w:cs="Times New Roman"/>
          <w:i/>
          <w:iCs/>
          <w:lang w:val="en-NZ"/>
        </w:rPr>
        <w:t>Accountability through the publication of parish financial reports : The effect on the level of giving</w:t>
      </w:r>
      <w:r w:rsidRPr="00470C06">
        <w:rPr>
          <w:rFonts w:hAnsi="Times New Roman" w:cs="Times New Roman"/>
          <w:lang w:val="en-NZ"/>
        </w:rPr>
        <w:t>. PhD Thesis. Walden University.</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Lightbody M (2000) Storing and shielding: financial management behaviour in a church organization.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(2): 156–174.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Lightbody M (2003) On being a financial manager in a church organisation: Understanding the experience. </w:t>
      </w:r>
      <w:r w:rsidRPr="00470C06">
        <w:rPr>
          <w:rFonts w:hAnsi="Times New Roman" w:cs="Times New Roman"/>
          <w:i/>
          <w:iCs/>
          <w:lang w:val="en-NZ"/>
        </w:rPr>
        <w:t>Financial Accountability &amp; Management</w:t>
      </w:r>
      <w:r w:rsidRPr="00470C06">
        <w:rPr>
          <w:rFonts w:hAnsi="Times New Roman" w:cs="Times New Roman"/>
          <w:lang w:val="en-NZ"/>
        </w:rPr>
        <w:t xml:space="preserve">, </w:t>
      </w:r>
      <w:r w:rsidRPr="00470C06">
        <w:rPr>
          <w:rFonts w:hAnsi="Times New Roman" w:cs="Times New Roman"/>
          <w:i/>
          <w:iCs/>
          <w:lang w:val="en-NZ"/>
        </w:rPr>
        <w:t>19</w:t>
      </w:r>
      <w:r w:rsidRPr="00470C06">
        <w:rPr>
          <w:rFonts w:hAnsi="Times New Roman" w:cs="Times New Roman"/>
          <w:lang w:val="en-NZ"/>
        </w:rPr>
        <w:t>(2): 117–138.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Lim FFM (2014) </w:t>
      </w:r>
      <w:r w:rsidRPr="00470C06">
        <w:rPr>
          <w:rFonts w:hAnsi="Times New Roman" w:cs="Times New Roman"/>
          <w:i/>
          <w:iCs/>
          <w:lang w:val="en-NZ"/>
        </w:rPr>
        <w:t>The economic entity and accounting for labour: Insights from Dietrich Bonhoeffer (1906 - 1945)</w:t>
      </w:r>
      <w:r w:rsidRPr="00470C06">
        <w:rPr>
          <w:rFonts w:hAnsi="Times New Roman" w:cs="Times New Roman"/>
          <w:lang w:val="en-NZ"/>
        </w:rPr>
        <w:t>. PhD Thesis. Victoria University of Wellington.</w:t>
      </w:r>
    </w:p>
    <w:p w:rsidR="00085651" w:rsidRDefault="00085651" w:rsidP="00470C06">
      <w:pPr>
        <w:pStyle w:val="NormalWeb"/>
        <w:spacing w:line="276" w:lineRule="auto"/>
        <w:ind w:left="480" w:hanging="480"/>
      </w:pPr>
      <w:r>
        <w:t>Lister</w:t>
      </w:r>
      <w:r w:rsidR="00A8798F">
        <w:t xml:space="preserve"> RJ (</w:t>
      </w:r>
      <w:r>
        <w:t>2006</w:t>
      </w:r>
      <w:r w:rsidR="00A8798F">
        <w:t xml:space="preserve">) The composition of interest: the Judaic prohibition. </w:t>
      </w:r>
      <w:r w:rsidR="00A8798F" w:rsidRPr="00A8798F">
        <w:rPr>
          <w:i/>
        </w:rPr>
        <w:t>Accounting, Business and Financial History,</w:t>
      </w:r>
      <w:r w:rsidR="00A8798F">
        <w:t xml:space="preserve"> 16(1): 121-127.</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Liyanarachchi GA (2009) Accounting in ancient Sri Lanka: some evidence of the accounting and auditing practices of Buddhist monasteries during 815-1017 AD.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14</w:t>
      </w:r>
      <w:r w:rsidRPr="00470C06">
        <w:rPr>
          <w:rFonts w:hAnsi="Times New Roman" w:cs="Times New Roman"/>
          <w:lang w:val="en-NZ"/>
        </w:rPr>
        <w:t>(1-2): 101–120. doi:10.1177/1032373208098554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Liyanarachchi, GA (2015) Antecedents of double-entry bookkeeping and Buddhist Temple Accounting.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20</w:t>
      </w:r>
      <w:r w:rsidRPr="00470C06">
        <w:rPr>
          <w:rFonts w:hAnsi="Times New Roman" w:cs="Times New Roman"/>
          <w:lang w:val="en-NZ"/>
        </w:rPr>
        <w:t>(1): 85–106. doi:10.1177/1032373214560154</w:t>
      </w:r>
    </w:p>
    <w:p w:rsidR="006110E0" w:rsidRPr="00953DEC" w:rsidRDefault="006110E0" w:rsidP="006110E0">
      <w:pPr>
        <w:pStyle w:val="NormalWeb"/>
        <w:ind w:left="480" w:hanging="480"/>
        <w:rPr>
          <w:rFonts w:eastAsiaTheme="minorEastAsia" w:hAnsi="Times New Roman" w:cs="Times New Roman"/>
          <w:noProof/>
        </w:rPr>
      </w:pPr>
      <w:r w:rsidRPr="00CD6F53">
        <w:rPr>
          <w:highlight w:val="yellow"/>
        </w:rPr>
        <w:fldChar w:fldCharType="begin" w:fldLock="1"/>
      </w:r>
      <w:r w:rsidRPr="00CD6F53">
        <w:rPr>
          <w:highlight w:val="yellow"/>
        </w:rPr>
        <w:instrText xml:space="preserve">ADDIN Mendeley Bibliography CSL_BIBLIOGRAPHY </w:instrText>
      </w:r>
      <w:r w:rsidRPr="00CD6F53">
        <w:rPr>
          <w:highlight w:val="yellow"/>
        </w:rPr>
        <w:fldChar w:fldCharType="separate"/>
      </w:r>
      <w:r w:rsidRPr="00953DEC">
        <w:rPr>
          <w:rFonts w:hAnsi="Times New Roman" w:cs="Times New Roman"/>
          <w:noProof/>
        </w:rPr>
        <w:t xml:space="preserve">Llewellyn S (2003) What chance has “theory” in qualitative management and accounting research? Introducing five levels of theorising. </w:t>
      </w:r>
      <w:r w:rsidRPr="00953DEC">
        <w:rPr>
          <w:rFonts w:hAnsi="Times New Roman" w:cs="Times New Roman"/>
          <w:i/>
          <w:iCs/>
          <w:noProof/>
        </w:rPr>
        <w:t>Accounting, Auditing &amp; Accountability Journal</w:t>
      </w:r>
      <w:r w:rsidRPr="00953DEC">
        <w:rPr>
          <w:rFonts w:hAnsi="Times New Roman" w:cs="Times New Roman"/>
          <w:noProof/>
        </w:rPr>
        <w:t xml:space="preserve">, </w:t>
      </w:r>
      <w:r w:rsidRPr="00953DEC">
        <w:rPr>
          <w:rFonts w:hAnsi="Times New Roman" w:cs="Times New Roman"/>
          <w:i/>
          <w:iCs/>
          <w:noProof/>
        </w:rPr>
        <w:t>16</w:t>
      </w:r>
      <w:r w:rsidRPr="00953DEC">
        <w:rPr>
          <w:rFonts w:hAnsi="Times New Roman" w:cs="Times New Roman"/>
          <w:noProof/>
        </w:rPr>
        <w:t>(4): 662–708.</w:t>
      </w:r>
    </w:p>
    <w:p w:rsidR="00366B6D" w:rsidRPr="00470C06" w:rsidRDefault="006110E0" w:rsidP="006110E0">
      <w:pPr>
        <w:pStyle w:val="NormalWeb"/>
        <w:spacing w:line="276" w:lineRule="auto"/>
        <w:ind w:left="480" w:hanging="480"/>
        <w:rPr>
          <w:rFonts w:hAnsi="Times New Roman" w:cs="Times New Roman"/>
          <w:lang w:val="en-NZ"/>
        </w:rPr>
      </w:pPr>
      <w:r w:rsidRPr="00CD6F53">
        <w:rPr>
          <w:highlight w:val="yellow"/>
        </w:rPr>
        <w:fldChar w:fldCharType="end"/>
      </w:r>
      <w:r w:rsidR="000D1A57" w:rsidRPr="00470C06">
        <w:rPr>
          <w:rFonts w:hAnsi="Times New Roman" w:cs="Times New Roman"/>
          <w:lang w:val="en-NZ"/>
        </w:rPr>
        <w:t xml:space="preserve">Llopis E, Fidalgo E and Méndez T (2002) The “Hojas de Ganado” of the Monastery of Guadalupe, 1597-1784: an accounting instrument for fundamental economic decisions. </w:t>
      </w:r>
      <w:r w:rsidR="000D1A57" w:rsidRPr="00470C06">
        <w:rPr>
          <w:rFonts w:hAnsi="Times New Roman" w:cs="Times New Roman"/>
          <w:i/>
          <w:iCs/>
          <w:lang w:val="en-NZ"/>
        </w:rPr>
        <w:t>Accounting, Business &amp; Financial History</w:t>
      </w:r>
      <w:r w:rsidR="000D1A57" w:rsidRPr="00470C06">
        <w:rPr>
          <w:rFonts w:hAnsi="Times New Roman" w:cs="Times New Roman"/>
          <w:lang w:val="en-NZ"/>
        </w:rPr>
        <w:t xml:space="preserve">, </w:t>
      </w:r>
      <w:r w:rsidR="000D1A57" w:rsidRPr="00470C06">
        <w:rPr>
          <w:rFonts w:hAnsi="Times New Roman" w:cs="Times New Roman"/>
          <w:i/>
          <w:iCs/>
          <w:lang w:val="en-NZ"/>
        </w:rPr>
        <w:t>12</w:t>
      </w:r>
      <w:r w:rsidR="000D1A57" w:rsidRPr="00470C06">
        <w:rPr>
          <w:rFonts w:hAnsi="Times New Roman" w:cs="Times New Roman"/>
          <w:lang w:val="en-NZ"/>
        </w:rPr>
        <w:t>(2): 203–229. doi:10.1080/09585200210134929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Maali B and Napier CJ (2010) Accounting, religion and organisational culture: the creation of Jordan Islamic Bank. </w:t>
      </w:r>
      <w:r w:rsidRPr="00470C06">
        <w:rPr>
          <w:rFonts w:hAnsi="Times New Roman" w:cs="Times New Roman"/>
          <w:i/>
          <w:iCs/>
          <w:lang w:val="en-NZ"/>
        </w:rPr>
        <w:t>Journal of Islamic Accounting and Business Research</w:t>
      </w:r>
      <w:r w:rsidRPr="00470C06">
        <w:rPr>
          <w:rFonts w:hAnsi="Times New Roman" w:cs="Times New Roman"/>
          <w:lang w:val="en-NZ"/>
        </w:rPr>
        <w:t xml:space="preserve">, </w:t>
      </w:r>
      <w:r w:rsidRPr="00470C06">
        <w:rPr>
          <w:rFonts w:hAnsi="Times New Roman" w:cs="Times New Roman"/>
          <w:i/>
          <w:iCs/>
          <w:lang w:val="en-NZ"/>
        </w:rPr>
        <w:t>1</w:t>
      </w:r>
      <w:r w:rsidRPr="00470C06">
        <w:rPr>
          <w:rFonts w:hAnsi="Times New Roman" w:cs="Times New Roman"/>
          <w:lang w:val="en-NZ"/>
        </w:rPr>
        <w:t>(2): 92–113. doi:10.1108/17590811011086705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Madonna S, Maran L and Cestari G (2014) The 1771 and 1824 reforms of the University of Ferrara: A Foucauldian analysis of papal interests.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19</w:t>
      </w:r>
      <w:r w:rsidRPr="00470C06">
        <w:rPr>
          <w:rFonts w:hAnsi="Times New Roman" w:cs="Times New Roman"/>
          <w:lang w:val="en-NZ"/>
        </w:rPr>
        <w:t>(4): 507–532. doi:10.1177/1032373214552317</w:t>
      </w:r>
    </w:p>
    <w:p w:rsidR="00085651" w:rsidRDefault="00085651" w:rsidP="00470C06">
      <w:pPr>
        <w:pStyle w:val="NormalWeb"/>
        <w:spacing w:line="276" w:lineRule="auto"/>
        <w:ind w:left="480" w:hanging="480"/>
        <w:rPr>
          <w:rFonts w:hAnsi="Times New Roman" w:cs="Times New Roman"/>
          <w:lang w:val="en-NZ"/>
        </w:rPr>
      </w:pPr>
      <w:r>
        <w:rPr>
          <w:rFonts w:hAnsi="Times New Roman" w:cs="Times New Roman"/>
          <w:lang w:val="en-NZ"/>
        </w:rPr>
        <w:t xml:space="preserve">Mandel MS (2002) Philanthropy or Cultural imperialism? The impact of American Jewish Aid in Post-Holocaust France. </w:t>
      </w:r>
      <w:r w:rsidRPr="00085651">
        <w:rPr>
          <w:rFonts w:hAnsi="Times New Roman" w:cs="Times New Roman"/>
          <w:i/>
          <w:lang w:val="en-NZ"/>
        </w:rPr>
        <w:t>Jewish Social Studies</w:t>
      </w:r>
      <w:r>
        <w:rPr>
          <w:rFonts w:hAnsi="Times New Roman" w:cs="Times New Roman"/>
          <w:i/>
          <w:lang w:val="en-NZ"/>
        </w:rPr>
        <w:t>,</w:t>
      </w:r>
      <w:r>
        <w:rPr>
          <w:rFonts w:hAnsi="Times New Roman" w:cs="Times New Roman"/>
          <w:lang w:val="en-NZ"/>
        </w:rPr>
        <w:t xml:space="preserve"> 9(1):53-94.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Martinez RJ (2004) Defining and Developing a Space for Business Scholarship in the Christian Academy. </w:t>
      </w:r>
      <w:r w:rsidRPr="00470C06">
        <w:rPr>
          <w:rFonts w:hAnsi="Times New Roman" w:cs="Times New Roman"/>
          <w:i/>
          <w:iCs/>
          <w:lang w:val="en-NZ"/>
        </w:rPr>
        <w:t>Christian Scholar’s Review</w:t>
      </w:r>
      <w:r w:rsidRPr="00470C06">
        <w:rPr>
          <w:rFonts w:hAnsi="Times New Roman" w:cs="Times New Roman"/>
          <w:lang w:val="en-NZ"/>
        </w:rPr>
        <w:t xml:space="preserve">, </w:t>
      </w:r>
      <w:r w:rsidRPr="00470C06">
        <w:rPr>
          <w:rFonts w:hAnsi="Times New Roman" w:cs="Times New Roman"/>
          <w:i/>
          <w:iCs/>
          <w:lang w:val="en-NZ"/>
        </w:rPr>
        <w:t>34</w:t>
      </w:r>
      <w:r w:rsidRPr="00470C06">
        <w:rPr>
          <w:rFonts w:hAnsi="Times New Roman" w:cs="Times New Roman"/>
          <w:lang w:val="en-NZ"/>
        </w:rPr>
        <w:t>(1): 55–73.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Mattessich R (1998) Review and extension of Bhattacharyya’s Modern Accounting Concepts in Kautilya's Arthasastra. </w:t>
      </w:r>
      <w:r w:rsidRPr="00470C06">
        <w:rPr>
          <w:rFonts w:hAnsi="Times New Roman" w:cs="Times New Roman"/>
          <w:i/>
          <w:iCs/>
          <w:lang w:val="en-NZ"/>
        </w:rPr>
        <w:t>Accounting, Business &amp; Financial History</w:t>
      </w:r>
      <w:r w:rsidRPr="00470C06">
        <w:rPr>
          <w:rFonts w:hAnsi="Times New Roman" w:cs="Times New Roman"/>
          <w:lang w:val="en-NZ"/>
        </w:rPr>
        <w:t xml:space="preserve">, </w:t>
      </w:r>
      <w:r w:rsidRPr="00470C06">
        <w:rPr>
          <w:rFonts w:hAnsi="Times New Roman" w:cs="Times New Roman"/>
          <w:i/>
          <w:iCs/>
          <w:lang w:val="en-NZ"/>
        </w:rPr>
        <w:t>8</w:t>
      </w:r>
      <w:r w:rsidRPr="00470C06">
        <w:rPr>
          <w:rFonts w:hAnsi="Times New Roman" w:cs="Times New Roman"/>
          <w:lang w:val="en-NZ"/>
        </w:rPr>
        <w:t>(July): 191–209. doi:10.1080/095852098330512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Mcclean D (1990) State Finance For European Churches. </w:t>
      </w:r>
      <w:r w:rsidRPr="00470C06">
        <w:rPr>
          <w:rFonts w:hAnsi="Times New Roman" w:cs="Times New Roman"/>
          <w:i/>
          <w:iCs/>
          <w:lang w:val="en-NZ"/>
        </w:rPr>
        <w:t>Ecclesiastical Law Journal</w:t>
      </w:r>
      <w:r w:rsidRPr="00470C06">
        <w:rPr>
          <w:rFonts w:hAnsi="Times New Roman" w:cs="Times New Roman"/>
          <w:lang w:val="en-NZ"/>
        </w:rPr>
        <w:t xml:space="preserve">, </w:t>
      </w:r>
      <w:r w:rsidRPr="00470C06">
        <w:rPr>
          <w:rFonts w:hAnsi="Times New Roman" w:cs="Times New Roman"/>
          <w:i/>
          <w:iCs/>
          <w:lang w:val="en-NZ"/>
        </w:rPr>
        <w:t>2</w:t>
      </w:r>
      <w:r w:rsidRPr="00470C06">
        <w:rPr>
          <w:rFonts w:hAnsi="Times New Roman" w:cs="Times New Roman"/>
          <w:lang w:val="en-NZ"/>
        </w:rPr>
        <w:t>(07): 116–119. doi:10.1017/S0956618X00000971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McPhail K, Gorringe T and Gray R (2004) Accounting and theology, an introduction.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(3): 320–326. doi:10.1108/09513570410545768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McPhail K, Gorringe T and Gray R (2005). Crossing the great divide: critiquing the sacred secular dichotomy in accounting research.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(2): 185–188. doi:10.1108/09513570510588715</w:t>
      </w:r>
    </w:p>
    <w:p w:rsidR="00085651" w:rsidRDefault="00085651" w:rsidP="00470C06">
      <w:pPr>
        <w:pStyle w:val="NormalWeb"/>
        <w:spacing w:line="276" w:lineRule="auto"/>
        <w:ind w:left="480" w:hanging="480"/>
        <w:rPr>
          <w:lang w:val="en-NZ"/>
        </w:rPr>
      </w:pPr>
      <w:r>
        <w:rPr>
          <w:rFonts w:hAnsi="Times New Roman" w:cs="Times New Roman"/>
          <w:lang w:val="en-NZ"/>
        </w:rPr>
        <w:t>Melčák</w:t>
      </w:r>
      <w:r w:rsidR="00A8798F">
        <w:rPr>
          <w:rFonts w:hAnsi="Times New Roman" w:cs="Times New Roman"/>
          <w:lang w:val="en-NZ"/>
        </w:rPr>
        <w:t xml:space="preserve"> M (</w:t>
      </w:r>
      <w:r>
        <w:rPr>
          <w:lang w:val="en-NZ"/>
        </w:rPr>
        <w:t>2010</w:t>
      </w:r>
      <w:r w:rsidR="00A8798F">
        <w:rPr>
          <w:lang w:val="en-NZ"/>
        </w:rPr>
        <w:t xml:space="preserve">) The development of </w:t>
      </w:r>
      <w:r w:rsidR="00A8798F" w:rsidRPr="00A8798F">
        <w:rPr>
          <w:i/>
          <w:lang w:val="en-NZ"/>
        </w:rPr>
        <w:t>D</w:t>
      </w:r>
      <w:r w:rsidR="00A8798F" w:rsidRPr="00C07FC1">
        <w:rPr>
          <w:rFonts w:hAnsi="Times New Roman" w:cs="Times New Roman"/>
          <w:i/>
          <w:lang w:val="en-NZ"/>
        </w:rPr>
        <w:t>īwān al-awqāf</w:t>
      </w:r>
      <w:r w:rsidR="00A8798F">
        <w:rPr>
          <w:lang w:val="en-NZ"/>
        </w:rPr>
        <w:t xml:space="preserve"> in Egypt in the 19</w:t>
      </w:r>
      <w:r w:rsidR="00A8798F" w:rsidRPr="00A8798F">
        <w:rPr>
          <w:vertAlign w:val="superscript"/>
          <w:lang w:val="en-NZ"/>
        </w:rPr>
        <w:t>th</w:t>
      </w:r>
      <w:r w:rsidR="00A8798F">
        <w:rPr>
          <w:lang w:val="en-NZ"/>
        </w:rPr>
        <w:t xml:space="preserve"> century: regulations of 1837 and 1851. Oriental Archives, 78: 1-34.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Moerman L (2008) The biblical jubilee: old wineskin for a new wine?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(2): 207–226. doi:10.1177/1032373207088179</w:t>
      </w:r>
    </w:p>
    <w:p w:rsidR="008E69C2" w:rsidRPr="00470C06" w:rsidRDefault="008E69C2"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Molisa, P (2011) A spiritual reflection on emancipation and accounting. </w:t>
      </w:r>
      <w:r w:rsidRPr="00470C06">
        <w:rPr>
          <w:rFonts w:hAnsi="Times New Roman" w:cs="Times New Roman"/>
          <w:i/>
          <w:lang w:val="en-NZ"/>
        </w:rPr>
        <w:t>Critical Perspectives on Accounting</w:t>
      </w:r>
      <w:r w:rsidRPr="00470C06">
        <w:rPr>
          <w:rFonts w:hAnsi="Times New Roman" w:cs="Times New Roman"/>
          <w:lang w:val="en-NZ"/>
        </w:rPr>
        <w:t>, 22(5): 453-484.</w:t>
      </w:r>
    </w:p>
    <w:p w:rsidR="00366B6D"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Mourey D, Eynaud P and Cordery CJ (2013) The </w:t>
      </w:r>
      <w:r w:rsidR="000502B9">
        <w:rPr>
          <w:rFonts w:hAnsi="Times New Roman" w:cs="Times New Roman"/>
          <w:lang w:val="en-NZ"/>
        </w:rPr>
        <w:t>i</w:t>
      </w:r>
      <w:r w:rsidRPr="00470C06">
        <w:rPr>
          <w:rFonts w:hAnsi="Times New Roman" w:cs="Times New Roman"/>
          <w:lang w:val="en-NZ"/>
        </w:rPr>
        <w:t xml:space="preserve">mpact of Governmental Policy on the </w:t>
      </w:r>
      <w:r w:rsidR="000502B9">
        <w:rPr>
          <w:rFonts w:hAnsi="Times New Roman" w:cs="Times New Roman"/>
          <w:lang w:val="en-NZ"/>
        </w:rPr>
        <w:t>e</w:t>
      </w:r>
      <w:r w:rsidRPr="00470C06">
        <w:rPr>
          <w:rFonts w:hAnsi="Times New Roman" w:cs="Times New Roman"/>
          <w:lang w:val="en-NZ"/>
        </w:rPr>
        <w:t xml:space="preserve">ffective </w:t>
      </w:r>
      <w:r w:rsidR="000502B9">
        <w:rPr>
          <w:rFonts w:hAnsi="Times New Roman" w:cs="Times New Roman"/>
          <w:lang w:val="en-NZ"/>
        </w:rPr>
        <w:t>o</w:t>
      </w:r>
      <w:r w:rsidRPr="00470C06">
        <w:rPr>
          <w:rFonts w:hAnsi="Times New Roman" w:cs="Times New Roman"/>
          <w:lang w:val="en-NZ"/>
        </w:rPr>
        <w:t xml:space="preserve">peration of CSOs: A French </w:t>
      </w:r>
      <w:r w:rsidR="000502B9">
        <w:rPr>
          <w:rFonts w:hAnsi="Times New Roman" w:cs="Times New Roman"/>
          <w:lang w:val="en-NZ"/>
        </w:rPr>
        <w:t>c</w:t>
      </w:r>
      <w:r w:rsidRPr="00470C06">
        <w:rPr>
          <w:rFonts w:hAnsi="Times New Roman" w:cs="Times New Roman"/>
          <w:lang w:val="en-NZ"/>
        </w:rPr>
        <w:t xml:space="preserve">ase </w:t>
      </w:r>
      <w:r w:rsidR="000502B9">
        <w:rPr>
          <w:rFonts w:hAnsi="Times New Roman" w:cs="Times New Roman"/>
          <w:lang w:val="en-NZ"/>
        </w:rPr>
        <w:t>s</w:t>
      </w:r>
      <w:r w:rsidRPr="00470C06">
        <w:rPr>
          <w:rFonts w:hAnsi="Times New Roman" w:cs="Times New Roman"/>
          <w:lang w:val="en-NZ"/>
        </w:rPr>
        <w:t xml:space="preserve">tudy. </w:t>
      </w:r>
      <w:r w:rsidRPr="00470C06">
        <w:rPr>
          <w:rFonts w:hAnsi="Times New Roman" w:cs="Times New Roman"/>
          <w:i/>
          <w:iCs/>
          <w:lang w:val="en-NZ"/>
        </w:rPr>
        <w:t>Nonprofit Policy Forum</w:t>
      </w:r>
      <w:r w:rsidRPr="00470C06">
        <w:rPr>
          <w:rFonts w:hAnsi="Times New Roman" w:cs="Times New Roman"/>
          <w:lang w:val="en-NZ"/>
        </w:rPr>
        <w:t xml:space="preserve">, </w:t>
      </w:r>
      <w:r w:rsidRPr="00470C06">
        <w:rPr>
          <w:rFonts w:hAnsi="Times New Roman" w:cs="Times New Roman"/>
          <w:i/>
          <w:iCs/>
          <w:lang w:val="en-NZ"/>
        </w:rPr>
        <w:t>5</w:t>
      </w:r>
      <w:r w:rsidRPr="00470C06">
        <w:rPr>
          <w:rFonts w:hAnsi="Times New Roman" w:cs="Times New Roman"/>
          <w:lang w:val="en-NZ"/>
        </w:rPr>
        <w:t>(1): 169–193. doi:10.1515/npf-2012-0015</w:t>
      </w:r>
    </w:p>
    <w:p w:rsidR="000502B9" w:rsidRPr="00470C06" w:rsidRDefault="000502B9" w:rsidP="00470C06">
      <w:pPr>
        <w:pStyle w:val="NormalWeb"/>
        <w:spacing w:line="276" w:lineRule="auto"/>
        <w:ind w:left="480" w:hanging="480"/>
        <w:rPr>
          <w:rFonts w:hAnsi="Times New Roman" w:cs="Times New Roman"/>
          <w:lang w:val="en-NZ"/>
        </w:rPr>
      </w:pPr>
      <w:r w:rsidRPr="000502B9">
        <w:rPr>
          <w:rFonts w:hAnsi="Times New Roman" w:cs="Times New Roman"/>
          <w:lang w:val="en-NZ"/>
        </w:rPr>
        <w:t xml:space="preserve">Napier, C J (2006) Accounts of change: 30 years of historical accounting research. </w:t>
      </w:r>
      <w:r w:rsidRPr="000502B9">
        <w:rPr>
          <w:rFonts w:hAnsi="Times New Roman" w:cs="Times New Roman"/>
          <w:i/>
          <w:lang w:val="en-NZ"/>
        </w:rPr>
        <w:t>Accounting, Organizations and Society</w:t>
      </w:r>
      <w:r w:rsidRPr="000502B9">
        <w:rPr>
          <w:rFonts w:hAnsi="Times New Roman" w:cs="Times New Roman"/>
          <w:lang w:val="en-NZ"/>
        </w:rPr>
        <w:t>, 31(4-5)</w:t>
      </w:r>
      <w:r>
        <w:rPr>
          <w:rFonts w:hAnsi="Times New Roman" w:cs="Times New Roman"/>
          <w:lang w:val="en-NZ"/>
        </w:rPr>
        <w:t>:</w:t>
      </w:r>
      <w:r w:rsidRPr="000502B9">
        <w:rPr>
          <w:rFonts w:hAnsi="Times New Roman" w:cs="Times New Roman"/>
          <w:lang w:val="en-NZ"/>
        </w:rPr>
        <w:t xml:space="preserve"> 445–507.</w:t>
      </w:r>
    </w:p>
    <w:p w:rsidR="00E15EC3" w:rsidRPr="00470C06" w:rsidRDefault="00E15EC3" w:rsidP="00E15EC3">
      <w:pPr>
        <w:pStyle w:val="NormalWeb"/>
        <w:spacing w:line="276" w:lineRule="auto"/>
        <w:ind w:left="480" w:hanging="480"/>
        <w:rPr>
          <w:rFonts w:hAnsi="Times New Roman" w:cs="Times New Roman"/>
          <w:lang w:val="en-NZ"/>
        </w:rPr>
      </w:pPr>
      <w:r>
        <w:rPr>
          <w:rFonts w:hAnsi="Times New Roman" w:cs="Times New Roman"/>
          <w:lang w:val="en-NZ"/>
        </w:rPr>
        <w:t>Napier C</w:t>
      </w:r>
      <w:r w:rsidRPr="00470C06">
        <w:rPr>
          <w:rFonts w:hAnsi="Times New Roman" w:cs="Times New Roman"/>
          <w:lang w:val="en-NZ"/>
        </w:rPr>
        <w:t xml:space="preserve"> (2009</w:t>
      </w:r>
      <w:r>
        <w:rPr>
          <w:rFonts w:hAnsi="Times New Roman" w:cs="Times New Roman"/>
          <w:lang w:val="en-NZ"/>
        </w:rPr>
        <w:t>a</w:t>
      </w:r>
      <w:r w:rsidRPr="00470C06">
        <w:rPr>
          <w:rFonts w:hAnsi="Times New Roman" w:cs="Times New Roman"/>
          <w:lang w:val="en-NZ"/>
        </w:rPr>
        <w:t xml:space="preserve">) </w:t>
      </w:r>
      <w:r>
        <w:rPr>
          <w:rFonts w:hAnsi="Times New Roman" w:cs="Times New Roman"/>
          <w:lang w:val="en-NZ"/>
        </w:rPr>
        <w:t>Historiography</w:t>
      </w:r>
      <w:r w:rsidRPr="00470C06">
        <w:rPr>
          <w:rFonts w:hAnsi="Times New Roman" w:cs="Times New Roman"/>
          <w:lang w:val="en-NZ"/>
        </w:rPr>
        <w:t xml:space="preserve">. In J. R. Edwards &amp; S. P. Walker (Eds.), </w:t>
      </w:r>
      <w:r w:rsidRPr="00470C06">
        <w:rPr>
          <w:rFonts w:hAnsi="Times New Roman" w:cs="Times New Roman"/>
          <w:i/>
          <w:iCs/>
          <w:lang w:val="en-NZ"/>
        </w:rPr>
        <w:t>The Routledge Companion to Accounting History</w:t>
      </w:r>
      <w:r w:rsidRPr="00470C06">
        <w:rPr>
          <w:rFonts w:hAnsi="Times New Roman" w:cs="Times New Roman"/>
          <w:lang w:val="en-NZ"/>
        </w:rPr>
        <w:t xml:space="preserve"> (p. </w:t>
      </w:r>
      <w:r>
        <w:rPr>
          <w:rFonts w:hAnsi="Times New Roman" w:cs="Times New Roman"/>
          <w:lang w:val="en-NZ"/>
        </w:rPr>
        <w:t>30-49</w:t>
      </w:r>
      <w:r w:rsidRPr="00470C06">
        <w:rPr>
          <w:rFonts w:hAnsi="Times New Roman" w:cs="Times New Roman"/>
          <w:lang w:val="en-NZ"/>
        </w:rPr>
        <w:t>). Oxford: Routledge.</w:t>
      </w:r>
    </w:p>
    <w:p w:rsidR="00366B6D"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Napier C (2009</w:t>
      </w:r>
      <w:r w:rsidR="00E15EC3">
        <w:rPr>
          <w:rFonts w:hAnsi="Times New Roman" w:cs="Times New Roman"/>
          <w:lang w:val="en-NZ"/>
        </w:rPr>
        <w:t>b</w:t>
      </w:r>
      <w:r w:rsidRPr="00470C06">
        <w:rPr>
          <w:rFonts w:hAnsi="Times New Roman" w:cs="Times New Roman"/>
          <w:lang w:val="en-NZ"/>
        </w:rPr>
        <w:t xml:space="preserve">) Defining Islamic accounting: current issues, past roots.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14</w:t>
      </w:r>
      <w:r w:rsidRPr="00470C06">
        <w:rPr>
          <w:rFonts w:hAnsi="Times New Roman" w:cs="Times New Roman"/>
          <w:lang w:val="en-NZ"/>
        </w:rPr>
        <w:t>(1-2): 121–144. doi:10.1177/1032373208098555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Niebuhr HR (1951) </w:t>
      </w:r>
      <w:r w:rsidRPr="00470C06">
        <w:rPr>
          <w:rFonts w:hAnsi="Times New Roman" w:cs="Times New Roman"/>
          <w:i/>
          <w:iCs/>
          <w:lang w:val="en-NZ"/>
        </w:rPr>
        <w:t>Christ and Culture</w:t>
      </w:r>
      <w:r w:rsidRPr="00470C06">
        <w:rPr>
          <w:rFonts w:hAnsi="Times New Roman" w:cs="Times New Roman"/>
          <w:lang w:val="en-NZ"/>
        </w:rPr>
        <w:t>. (Faber &amp; Faber, Ed.). London.</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Orbay K (2013) Account Books of the Imperial WAQFS (Charitable Endowments) in the Eastern Mediterranean (15th to 19th Centuries).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40</w:t>
      </w:r>
      <w:r w:rsidRPr="00470C06">
        <w:rPr>
          <w:rFonts w:hAnsi="Times New Roman" w:cs="Times New Roman"/>
          <w:lang w:val="en-NZ"/>
        </w:rPr>
        <w:t>(1): 31–50.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Orelli RL, del Sordo C and Fornasari M (2013) Credit and accounting in early modern Italy: the case of the Monte di Pietà in Bologna. </w:t>
      </w:r>
      <w:r w:rsidRPr="00470C06">
        <w:rPr>
          <w:rFonts w:hAnsi="Times New Roman" w:cs="Times New Roman"/>
          <w:i/>
          <w:iCs/>
          <w:lang w:val="en-NZ"/>
        </w:rPr>
        <w:t>Accounting History Review</w:t>
      </w:r>
      <w:r w:rsidRPr="00470C06">
        <w:rPr>
          <w:rFonts w:hAnsi="Times New Roman" w:cs="Times New Roman"/>
          <w:lang w:val="en-NZ"/>
        </w:rPr>
        <w:t xml:space="preserve">, </w:t>
      </w:r>
      <w:r w:rsidRPr="00470C06">
        <w:rPr>
          <w:rFonts w:hAnsi="Times New Roman" w:cs="Times New Roman"/>
          <w:i/>
          <w:iCs/>
          <w:lang w:val="en-NZ"/>
        </w:rPr>
        <w:t>23</w:t>
      </w:r>
      <w:r w:rsidRPr="00470C06">
        <w:rPr>
          <w:rFonts w:hAnsi="Times New Roman" w:cs="Times New Roman"/>
          <w:lang w:val="en-NZ"/>
        </w:rPr>
        <w:t>(3): 273–293. doi:10.1080/21552851.2013.850925</w:t>
      </w:r>
    </w:p>
    <w:p w:rsidR="00085651" w:rsidRDefault="00BF7A66" w:rsidP="00470C06">
      <w:pPr>
        <w:pStyle w:val="NormalWeb"/>
        <w:spacing w:line="276" w:lineRule="auto"/>
        <w:ind w:left="480" w:hanging="480"/>
        <w:rPr>
          <w:lang w:val="en-NZ"/>
        </w:rPr>
      </w:pPr>
      <w:r>
        <w:rPr>
          <w:lang w:val="en-NZ"/>
        </w:rPr>
        <w:t>Ornatowski</w:t>
      </w:r>
      <w:r w:rsidR="00085651">
        <w:rPr>
          <w:lang w:val="en-NZ"/>
        </w:rPr>
        <w:t xml:space="preserve"> </w:t>
      </w:r>
      <w:r>
        <w:rPr>
          <w:lang w:val="en-NZ"/>
        </w:rPr>
        <w:t>GK (</w:t>
      </w:r>
      <w:r w:rsidR="00085651">
        <w:rPr>
          <w:lang w:val="en-NZ"/>
        </w:rPr>
        <w:t>1996</w:t>
      </w:r>
      <w:r>
        <w:rPr>
          <w:lang w:val="en-NZ"/>
        </w:rPr>
        <w:t xml:space="preserve">) Continuity and change in the economic ethics of Buddhism: Evidence from the history of Buddhism in India, China and Japan. </w:t>
      </w:r>
      <w:r w:rsidRPr="00BF7A66">
        <w:rPr>
          <w:i/>
          <w:lang w:val="en-NZ"/>
        </w:rPr>
        <w:t xml:space="preserve">Journal of Buddhist </w:t>
      </w:r>
      <w:r>
        <w:rPr>
          <w:lang w:val="en-NZ"/>
        </w:rPr>
        <w:t>Ethics, 3: 187-229.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Paisey C and Paisey NJ (2011) Visibility, governance and social context.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24</w:t>
      </w:r>
      <w:r w:rsidRPr="00470C06">
        <w:rPr>
          <w:rFonts w:hAnsi="Times New Roman" w:cs="Times New Roman"/>
          <w:lang w:val="en-NZ"/>
        </w:rPr>
        <w:t>(5): 587–621. doi:10.1108/09513571111139111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Parker LD (1999) Historiography for the new millennium: Adventures in accounting and management.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4</w:t>
      </w:r>
      <w:r w:rsidRPr="00470C06">
        <w:rPr>
          <w:rFonts w:hAnsi="Times New Roman" w:cs="Times New Roman"/>
          <w:lang w:val="en-NZ"/>
        </w:rPr>
        <w:t>(2): 11–42.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Parker LD (2001) Reactive planning in a Christian bureaucracy. </w:t>
      </w:r>
      <w:r w:rsidRPr="00470C06">
        <w:rPr>
          <w:rFonts w:hAnsi="Times New Roman" w:cs="Times New Roman"/>
          <w:i/>
          <w:iCs/>
          <w:lang w:val="en-NZ"/>
        </w:rPr>
        <w:t>Management Accounting Research</w:t>
      </w:r>
      <w:r w:rsidRPr="00470C06">
        <w:rPr>
          <w:rFonts w:hAnsi="Times New Roman" w:cs="Times New Roman"/>
          <w:lang w:val="en-NZ"/>
        </w:rPr>
        <w:t xml:space="preserve">, </w:t>
      </w:r>
      <w:r w:rsidRPr="00470C06">
        <w:rPr>
          <w:rFonts w:hAnsi="Times New Roman" w:cs="Times New Roman"/>
          <w:i/>
          <w:iCs/>
          <w:lang w:val="en-NZ"/>
        </w:rPr>
        <w:t>12:</w:t>
      </w:r>
      <w:r w:rsidRPr="00470C06">
        <w:rPr>
          <w:rFonts w:hAnsi="Times New Roman" w:cs="Times New Roman"/>
          <w:lang w:val="en-NZ"/>
        </w:rPr>
        <w:t xml:space="preserve"> 321–356.</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Parker LD (2002) Budgetary incrementalism in a Christian bureaucracy. </w:t>
      </w:r>
      <w:r w:rsidRPr="00470C06">
        <w:rPr>
          <w:rFonts w:hAnsi="Times New Roman" w:cs="Times New Roman"/>
          <w:i/>
          <w:iCs/>
          <w:lang w:val="en-NZ"/>
        </w:rPr>
        <w:t>Management Accounting Research</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 xml:space="preserve"> 71–100.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Parker LD (2014) Corporate social accountability through action: Contemporary insights from British industrial pioneers.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39</w:t>
      </w:r>
      <w:r w:rsidRPr="00470C06">
        <w:rPr>
          <w:rFonts w:hAnsi="Times New Roman" w:cs="Times New Roman"/>
          <w:lang w:val="en-NZ"/>
        </w:rPr>
        <w:t>(8): 632–659. doi:10.1016/j.aos.2014.10.001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Payer-Langthaler S and Hiebl MRW (2013) Towards a definition of performance for religious organizations and beyond. </w:t>
      </w:r>
      <w:r w:rsidRPr="00470C06">
        <w:rPr>
          <w:rFonts w:hAnsi="Times New Roman" w:cs="Times New Roman"/>
          <w:i/>
          <w:iCs/>
          <w:lang w:val="en-NZ"/>
        </w:rPr>
        <w:t>Qualitative Research in Accounting &amp; Management</w:t>
      </w:r>
      <w:r w:rsidRPr="00470C06">
        <w:rPr>
          <w:rFonts w:hAnsi="Times New Roman" w:cs="Times New Roman"/>
          <w:lang w:val="en-NZ"/>
        </w:rPr>
        <w:t xml:space="preserve">, </w:t>
      </w:r>
      <w:r w:rsidRPr="00470C06">
        <w:rPr>
          <w:rFonts w:hAnsi="Times New Roman" w:cs="Times New Roman"/>
          <w:i/>
          <w:iCs/>
          <w:lang w:val="en-NZ"/>
        </w:rPr>
        <w:t>10</w:t>
      </w:r>
      <w:r w:rsidRPr="00470C06">
        <w:rPr>
          <w:rFonts w:hAnsi="Times New Roman" w:cs="Times New Roman"/>
          <w:lang w:val="en-NZ"/>
        </w:rPr>
        <w:t>(3/4): 213–233. doi:10.1108/QRAM-08-2012-0033</w:t>
      </w:r>
    </w:p>
    <w:p w:rsidR="00085651" w:rsidRDefault="00085651" w:rsidP="00470C06">
      <w:pPr>
        <w:pStyle w:val="NormalWeb"/>
        <w:spacing w:line="276" w:lineRule="auto"/>
        <w:ind w:left="480" w:hanging="480"/>
        <w:rPr>
          <w:rFonts w:hAnsi="Times New Roman" w:cs="Times New Roman"/>
          <w:lang w:val="en-NZ"/>
        </w:rPr>
      </w:pPr>
      <w:r>
        <w:rPr>
          <w:rFonts w:hAnsi="Times New Roman" w:cs="Times New Roman"/>
          <w:lang w:val="en-NZ"/>
        </w:rPr>
        <w:t xml:space="preserve">Perks RB (1982) Real profit-sharing William Thomson and Sons of Huddersfield, 1886-1925. </w:t>
      </w:r>
      <w:r w:rsidRPr="00085651">
        <w:rPr>
          <w:rFonts w:hAnsi="Times New Roman" w:cs="Times New Roman"/>
          <w:i/>
          <w:lang w:val="en-NZ"/>
        </w:rPr>
        <w:t>Business History</w:t>
      </w:r>
      <w:r>
        <w:rPr>
          <w:rFonts w:hAnsi="Times New Roman" w:cs="Times New Roman"/>
          <w:lang w:val="en-NZ"/>
        </w:rPr>
        <w:t xml:space="preserve"> 24(2): 156-164.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Posner G (2015) </w:t>
      </w:r>
      <w:r w:rsidRPr="00470C06">
        <w:rPr>
          <w:rFonts w:hAnsi="Times New Roman" w:cs="Times New Roman"/>
          <w:i/>
          <w:iCs/>
          <w:lang w:val="en-NZ"/>
        </w:rPr>
        <w:t>God’s Bankers: A History of Money and Power at the Vatican.</w:t>
      </w:r>
      <w:r w:rsidRPr="00470C06">
        <w:rPr>
          <w:rFonts w:hAnsi="Times New Roman" w:cs="Times New Roman"/>
          <w:lang w:val="en-NZ"/>
        </w:rPr>
        <w:t xml:space="preserve"> New York, Schuster and Schuster.</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Prieto B, Mate L and Tua J (2006) The accounting records of the Monastery of Silos throughout the eighteenth century: the accumulation and management of its patrimony in the light of its accounts books.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(2): 221–256. doi:10.1177/1032373206063115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Quattrone P (2004) Accounting for God: Accounting and accountability practices in the Society of Jesus (Italy, XVI-XVII centuries).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29:</w:t>
      </w:r>
      <w:r w:rsidRPr="00470C06">
        <w:rPr>
          <w:rFonts w:hAnsi="Times New Roman" w:cs="Times New Roman"/>
          <w:lang w:val="en-NZ"/>
        </w:rPr>
        <w:t xml:space="preserve"> 647–683.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Rammal HG and Parker LD (2012) Islamic banking in Pakistan: A history of emergent accountability and regulation.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(1): 5–29. doi:10.1177/1032373212463269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Riccaboni A, Giovannoni E, Giorgi A and Moscadelli S (2006) Accounting and power: evidence from the fourteenth century.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(1): 41–62. doi:10.1177/1032373206060082</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Robbins G and Lapsley I (2008) Irish voluntary hospitals: An examination of a theory of voluntary failure. </w:t>
      </w:r>
      <w:r w:rsidRPr="00470C06">
        <w:rPr>
          <w:rFonts w:hAnsi="Times New Roman" w:cs="Times New Roman"/>
          <w:i/>
          <w:iCs/>
          <w:lang w:val="en-NZ"/>
        </w:rPr>
        <w:t>Accounting, Business and Finanical History</w:t>
      </w:r>
      <w:r w:rsidRPr="00470C06">
        <w:rPr>
          <w:rFonts w:hAnsi="Times New Roman" w:cs="Times New Roman"/>
          <w:lang w:val="en-NZ"/>
        </w:rPr>
        <w:t xml:space="preserve">, </w:t>
      </w:r>
      <w:r w:rsidRPr="00470C06">
        <w:rPr>
          <w:rFonts w:hAnsi="Times New Roman" w:cs="Times New Roman"/>
          <w:i/>
          <w:iCs/>
          <w:lang w:val="en-NZ"/>
        </w:rPr>
        <w:t>18</w:t>
      </w:r>
      <w:r w:rsidRPr="00470C06">
        <w:rPr>
          <w:rFonts w:hAnsi="Times New Roman" w:cs="Times New Roman"/>
          <w:lang w:val="en-NZ"/>
        </w:rPr>
        <w:t>(1): 61–80.</w:t>
      </w:r>
    </w:p>
    <w:p w:rsidR="00085651" w:rsidRDefault="00085651" w:rsidP="00470C06">
      <w:pPr>
        <w:pStyle w:val="NormalWeb"/>
        <w:spacing w:line="276" w:lineRule="auto"/>
        <w:ind w:left="480" w:hanging="480"/>
        <w:rPr>
          <w:rFonts w:hAnsi="Times New Roman" w:cs="Times New Roman"/>
          <w:lang w:val="en-NZ"/>
        </w:rPr>
      </w:pPr>
      <w:r>
        <w:rPr>
          <w:rFonts w:hAnsi="Times New Roman" w:cs="Times New Roman"/>
          <w:lang w:val="en-NZ"/>
        </w:rPr>
        <w:t xml:space="preserve">Roca JF (2010) Monks and businessmen in Catalonia: the Benedictines of Montserrat (1900-1936). </w:t>
      </w:r>
      <w:r w:rsidRPr="00085651">
        <w:rPr>
          <w:rFonts w:hAnsi="Times New Roman" w:cs="Times New Roman"/>
          <w:i/>
          <w:lang w:val="en-NZ"/>
        </w:rPr>
        <w:t xml:space="preserve">Enterprise and Society: The International Journal of Business History </w:t>
      </w:r>
      <w:r>
        <w:rPr>
          <w:rFonts w:hAnsi="Times New Roman" w:cs="Times New Roman"/>
          <w:lang w:val="en-NZ"/>
        </w:rPr>
        <w:t>11(2): 242-274.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Rost K, Inauen E, Osterloh M and Frey BS (2010) The corporate governance of Benedictine abbeys: What can stock corporations learn from monasteries? </w:t>
      </w:r>
      <w:r w:rsidRPr="00470C06">
        <w:rPr>
          <w:rFonts w:hAnsi="Times New Roman" w:cs="Times New Roman"/>
          <w:i/>
          <w:iCs/>
          <w:lang w:val="en-NZ"/>
        </w:rPr>
        <w:t>Journal of Management History</w:t>
      </w:r>
      <w:r w:rsidRPr="00470C06">
        <w:rPr>
          <w:rFonts w:hAnsi="Times New Roman" w:cs="Times New Roman"/>
          <w:lang w:val="en-NZ"/>
        </w:rPr>
        <w:t xml:space="preserve">, </w:t>
      </w:r>
      <w:r w:rsidRPr="00470C06">
        <w:rPr>
          <w:rFonts w:hAnsi="Times New Roman" w:cs="Times New Roman"/>
          <w:i/>
          <w:iCs/>
          <w:lang w:val="en-NZ"/>
        </w:rPr>
        <w:t>16(1)</w:t>
      </w:r>
      <w:r w:rsidRPr="00470C06">
        <w:rPr>
          <w:rFonts w:hAnsi="Times New Roman" w:cs="Times New Roman"/>
          <w:lang w:val="en-NZ"/>
        </w:rPr>
        <w:t xml:space="preserve"> 90–115. doi:10.1108/17511341011008331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Rothstein B and Broms R (2013) Governing religion: the long-term effects of sacred financing. </w:t>
      </w:r>
      <w:r w:rsidRPr="00470C06">
        <w:rPr>
          <w:rFonts w:hAnsi="Times New Roman" w:cs="Times New Roman"/>
          <w:i/>
          <w:iCs/>
          <w:lang w:val="en-NZ"/>
        </w:rPr>
        <w:t>Journal of Institutional Economics</w:t>
      </w:r>
      <w:r w:rsidRPr="00470C06">
        <w:rPr>
          <w:rFonts w:hAnsi="Times New Roman" w:cs="Times New Roman"/>
          <w:lang w:val="en-NZ"/>
        </w:rPr>
        <w:t xml:space="preserve">, </w:t>
      </w:r>
      <w:r w:rsidRPr="00470C06">
        <w:rPr>
          <w:rFonts w:hAnsi="Times New Roman" w:cs="Times New Roman"/>
          <w:i/>
          <w:iCs/>
          <w:lang w:val="en-NZ"/>
        </w:rPr>
        <w:t>9</w:t>
      </w:r>
      <w:r w:rsidRPr="00470C06">
        <w:rPr>
          <w:rFonts w:hAnsi="Times New Roman" w:cs="Times New Roman"/>
          <w:lang w:val="en-NZ"/>
        </w:rPr>
        <w:t>(04): 469–490. doi:10.1017/S1744137413000271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Rowe TM and Giroux GA (1986) Diocesan financial disclosure: A quality assessment. </w:t>
      </w:r>
      <w:r w:rsidRPr="00470C06">
        <w:rPr>
          <w:rFonts w:hAnsi="Times New Roman" w:cs="Times New Roman"/>
          <w:i/>
          <w:iCs/>
          <w:lang w:val="en-NZ"/>
        </w:rPr>
        <w:t>Journal of Accounting and Public Policy</w:t>
      </w:r>
      <w:r w:rsidRPr="00470C06">
        <w:rPr>
          <w:rFonts w:hAnsi="Times New Roman" w:cs="Times New Roman"/>
          <w:lang w:val="en-NZ"/>
        </w:rPr>
        <w:t xml:space="preserve">, </w:t>
      </w:r>
      <w:r w:rsidRPr="00470C06">
        <w:rPr>
          <w:rFonts w:hAnsi="Times New Roman" w:cs="Times New Roman"/>
          <w:i/>
          <w:iCs/>
          <w:lang w:val="en-NZ"/>
        </w:rPr>
        <w:t>5:</w:t>
      </w:r>
      <w:r w:rsidRPr="00470C06">
        <w:rPr>
          <w:rFonts w:hAnsi="Times New Roman" w:cs="Times New Roman"/>
          <w:lang w:val="en-NZ"/>
        </w:rPr>
        <w:t xml:space="preserve"> 57–74. doi:10.1016/0278-4254(86)90006-2</w:t>
      </w:r>
    </w:p>
    <w:p w:rsidR="00366B6D" w:rsidRPr="00470C06" w:rsidRDefault="000D1A57" w:rsidP="00470C06">
      <w:pPr>
        <w:spacing w:line="276" w:lineRule="auto"/>
        <w:ind w:left="720" w:hanging="720"/>
        <w:rPr>
          <w:rFonts w:hAnsi="Times New Roman" w:cs="Times New Roman"/>
          <w:lang w:val="en-NZ"/>
        </w:rPr>
      </w:pPr>
      <w:r w:rsidRPr="00470C06">
        <w:rPr>
          <w:rFonts w:hAnsi="Times New Roman" w:cs="Times New Roman"/>
          <w:lang w:val="en-NZ"/>
        </w:rPr>
        <w:t xml:space="preserve">Salamon LM (1987) Of market failure, voluntary failure, and third-party government: Toward a theory of government-nonprofit relations in the modern welfare state, </w:t>
      </w:r>
      <w:r w:rsidRPr="00470C06">
        <w:rPr>
          <w:rFonts w:hAnsi="Times New Roman" w:cs="Times New Roman"/>
          <w:i/>
          <w:iCs/>
          <w:lang w:val="en-NZ"/>
        </w:rPr>
        <w:t>Journal of Voluntary Action Research</w:t>
      </w:r>
      <w:r w:rsidRPr="00470C06">
        <w:rPr>
          <w:rFonts w:hAnsi="Times New Roman" w:cs="Times New Roman"/>
          <w:lang w:val="en-NZ"/>
        </w:rPr>
        <w:t>, 16(1-2): 29–49.</w:t>
      </w:r>
    </w:p>
    <w:p w:rsidR="00085651" w:rsidRDefault="00085651" w:rsidP="00470C06">
      <w:pPr>
        <w:pStyle w:val="NormalWeb"/>
        <w:spacing w:line="276" w:lineRule="auto"/>
        <w:ind w:left="480" w:hanging="480"/>
        <w:rPr>
          <w:rFonts w:hAnsi="Times New Roman" w:cs="Times New Roman"/>
          <w:lang w:val="en-NZ"/>
        </w:rPr>
      </w:pPr>
      <w:r>
        <w:rPr>
          <w:rFonts w:hAnsi="Times New Roman" w:cs="Times New Roman"/>
          <w:lang w:val="en-NZ"/>
        </w:rPr>
        <w:t xml:space="preserve">Slavin P (2012) </w:t>
      </w:r>
      <w:r w:rsidRPr="00085651">
        <w:rPr>
          <w:rFonts w:hAnsi="Times New Roman" w:cs="Times New Roman"/>
          <w:i/>
          <w:lang w:val="en-NZ"/>
        </w:rPr>
        <w:t>Bread and ale for the brethren: the provisioning of Norwich Cathedral Priory, 1260-1536</w:t>
      </w:r>
      <w:r>
        <w:rPr>
          <w:rFonts w:hAnsi="Times New Roman" w:cs="Times New Roman"/>
          <w:lang w:val="en-NZ"/>
        </w:rPr>
        <w:t xml:space="preserve">. Studies in Regional and Local History Volume 11, Hatfield, University of Hertfordshire Press. </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Smith VO and Smith YS (2011) Bias, history, and the Protestant Work Ethic. </w:t>
      </w:r>
      <w:r w:rsidRPr="00470C06">
        <w:rPr>
          <w:rFonts w:hAnsi="Times New Roman" w:cs="Times New Roman"/>
          <w:i/>
          <w:iCs/>
          <w:lang w:val="en-NZ"/>
        </w:rPr>
        <w:t>Journal of Management History</w:t>
      </w:r>
      <w:r w:rsidRPr="00470C06">
        <w:rPr>
          <w:rFonts w:hAnsi="Times New Roman" w:cs="Times New Roman"/>
          <w:lang w:val="en-NZ"/>
        </w:rPr>
        <w:t xml:space="preserve">, </w:t>
      </w:r>
      <w:r w:rsidRPr="00470C06">
        <w:rPr>
          <w:rFonts w:hAnsi="Times New Roman" w:cs="Times New Roman"/>
          <w:i/>
          <w:iCs/>
          <w:lang w:val="en-NZ"/>
        </w:rPr>
        <w:t>17(3):</w:t>
      </w:r>
      <w:r w:rsidRPr="00470C06">
        <w:rPr>
          <w:rFonts w:hAnsi="Times New Roman" w:cs="Times New Roman"/>
          <w:lang w:val="en-NZ"/>
        </w:rPr>
        <w:t xml:space="preserve"> 282–298. doi:10.1108/17511341111141369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Swanson GA and Gardner JC (1986) The inception and evolution of financial reporting in the protestant episcopal church in the United States of America.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(2): 55–63.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Swanson GA and Gardner JC (1988) Not-for-profit accounting and auditing in the early eighteenth century: some archival evidence. </w:t>
      </w:r>
      <w:r w:rsidRPr="00470C06">
        <w:rPr>
          <w:rFonts w:hAnsi="Times New Roman" w:cs="Times New Roman"/>
          <w:i/>
          <w:iCs/>
          <w:lang w:val="en-NZ"/>
        </w:rPr>
        <w:t>The Accounting Review</w:t>
      </w:r>
      <w:r w:rsidRPr="00470C06">
        <w:rPr>
          <w:rFonts w:hAnsi="Times New Roman" w:cs="Times New Roman"/>
          <w:lang w:val="en-NZ"/>
        </w:rPr>
        <w:t xml:space="preserve">, </w:t>
      </w:r>
      <w:r w:rsidRPr="00470C06">
        <w:rPr>
          <w:rFonts w:hAnsi="Times New Roman" w:cs="Times New Roman"/>
          <w:i/>
          <w:iCs/>
          <w:lang w:val="en-NZ"/>
        </w:rPr>
        <w:t>63</w:t>
      </w:r>
      <w:r w:rsidRPr="00470C06">
        <w:rPr>
          <w:rFonts w:hAnsi="Times New Roman" w:cs="Times New Roman"/>
          <w:lang w:val="en-NZ"/>
        </w:rPr>
        <w:t>(3): 436–447.</w:t>
      </w:r>
    </w:p>
    <w:p w:rsidR="00366B6D" w:rsidRPr="00470C06" w:rsidRDefault="000D1A57" w:rsidP="00470C06">
      <w:pPr>
        <w:spacing w:line="276" w:lineRule="auto"/>
        <w:ind w:left="720" w:hanging="720"/>
        <w:rPr>
          <w:rFonts w:hAnsi="Times New Roman" w:cs="Times New Roman"/>
          <w:lang w:val="en-NZ"/>
        </w:rPr>
      </w:pPr>
      <w:r w:rsidRPr="00470C06">
        <w:rPr>
          <w:rFonts w:hAnsi="Times New Roman" w:cs="Times New Roman"/>
          <w:lang w:val="en-NZ"/>
        </w:rPr>
        <w:t xml:space="preserve">Lee, TA (2013) Reflections on the origins of modern accounting. </w:t>
      </w:r>
      <w:r w:rsidRPr="00470C06">
        <w:rPr>
          <w:rFonts w:hAnsi="Times New Roman" w:cs="Times New Roman"/>
          <w:i/>
          <w:iCs/>
          <w:lang w:val="en-NZ"/>
        </w:rPr>
        <w:t>Accounting History</w:t>
      </w:r>
      <w:r w:rsidRPr="00470C06">
        <w:rPr>
          <w:rFonts w:hAnsi="Times New Roman" w:cs="Times New Roman"/>
          <w:lang w:val="en-NZ"/>
        </w:rPr>
        <w:t>, 18(2): 141–161. doi:10.1177/1032373212470548</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Tinker T (2004) The enlightenment and its discontents: Antinomies of Christianity, Islam and the calculative sciences. </w:t>
      </w:r>
      <w:r w:rsidRPr="00470C06">
        <w:rPr>
          <w:rFonts w:hAnsi="Times New Roman" w:cs="Times New Roman"/>
          <w:i/>
          <w:iCs/>
          <w:lang w:val="en-NZ"/>
        </w:rPr>
        <w:t>Accounting, Auditing &amp; Accountability Journal</w:t>
      </w:r>
      <w:r w:rsidRPr="00470C06">
        <w:rPr>
          <w:rFonts w:hAnsi="Times New Roman" w:cs="Times New Roman"/>
          <w:lang w:val="en-NZ"/>
        </w:rPr>
        <w:t xml:space="preserve">, </w:t>
      </w:r>
      <w:r w:rsidRPr="00470C06">
        <w:rPr>
          <w:rFonts w:hAnsi="Times New Roman" w:cs="Times New Roman"/>
          <w:i/>
          <w:iCs/>
          <w:lang w:val="en-NZ"/>
        </w:rPr>
        <w:t>17</w:t>
      </w:r>
      <w:r w:rsidRPr="00470C06">
        <w:rPr>
          <w:rFonts w:hAnsi="Times New Roman" w:cs="Times New Roman"/>
          <w:lang w:val="en-NZ"/>
        </w:rPr>
        <w:t>(3): 442–475.</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Trigg R and Nabangi FK (1995) Representation of the Financial Position of Not-for-profit Organizations: the Habitat for Humanity Situation. </w:t>
      </w:r>
      <w:r w:rsidRPr="00470C06">
        <w:rPr>
          <w:rFonts w:hAnsi="Times New Roman" w:cs="Times New Roman"/>
          <w:i/>
          <w:iCs/>
          <w:lang w:val="en-NZ"/>
        </w:rPr>
        <w:t>Financial Accountability and Management</w:t>
      </w:r>
      <w:r w:rsidRPr="00470C06">
        <w:rPr>
          <w:rFonts w:hAnsi="Times New Roman" w:cs="Times New Roman"/>
          <w:lang w:val="en-NZ"/>
        </w:rPr>
        <w:t xml:space="preserve">, </w:t>
      </w:r>
      <w:r w:rsidRPr="00470C06">
        <w:rPr>
          <w:rFonts w:hAnsi="Times New Roman" w:cs="Times New Roman"/>
          <w:i/>
          <w:iCs/>
          <w:lang w:val="en-NZ"/>
        </w:rPr>
        <w:t>11</w:t>
      </w:r>
      <w:r w:rsidRPr="00470C06">
        <w:rPr>
          <w:rFonts w:hAnsi="Times New Roman" w:cs="Times New Roman"/>
          <w:lang w:val="en-NZ"/>
        </w:rPr>
        <w:t>(3): 259–269.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Triyuwono I (1996) </w:t>
      </w:r>
      <w:r w:rsidRPr="00470C06">
        <w:rPr>
          <w:rFonts w:hAnsi="Times New Roman" w:cs="Times New Roman"/>
          <w:i/>
          <w:iCs/>
          <w:lang w:val="en-NZ"/>
        </w:rPr>
        <w:t>“Shariate” organisation and accounting: The reflections of “self’s” faith and knowledge</w:t>
      </w:r>
      <w:r w:rsidRPr="00470C06">
        <w:rPr>
          <w:rFonts w:hAnsi="Times New Roman" w:cs="Times New Roman"/>
          <w:lang w:val="en-NZ"/>
        </w:rPr>
        <w:t>. PhD Thesis. University of Woollongong.</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Urton G (2009) Sin, Confession, and the Arts of Book- and Cord-Keeping: An Intercontinental and Transcultural Exploration of Accounting and Governmentality. </w:t>
      </w:r>
      <w:r w:rsidRPr="00470C06">
        <w:rPr>
          <w:rFonts w:hAnsi="Times New Roman" w:cs="Times New Roman"/>
          <w:i/>
          <w:iCs/>
          <w:lang w:val="en-NZ"/>
        </w:rPr>
        <w:t>Comparative Studies in Society and History</w:t>
      </w:r>
      <w:r w:rsidRPr="00470C06">
        <w:rPr>
          <w:rFonts w:hAnsi="Times New Roman" w:cs="Times New Roman"/>
          <w:lang w:val="en-NZ"/>
        </w:rPr>
        <w:t xml:space="preserve">, </w:t>
      </w:r>
      <w:r w:rsidRPr="00470C06">
        <w:rPr>
          <w:rFonts w:hAnsi="Times New Roman" w:cs="Times New Roman"/>
          <w:i/>
          <w:iCs/>
          <w:lang w:val="en-NZ"/>
        </w:rPr>
        <w:t>51</w:t>
      </w:r>
      <w:r w:rsidRPr="00470C06">
        <w:rPr>
          <w:rFonts w:hAnsi="Times New Roman" w:cs="Times New Roman"/>
          <w:lang w:val="en-NZ"/>
        </w:rPr>
        <w:t>(04): 801. doi:10.1017/S0010417509990144</w:t>
      </w:r>
    </w:p>
    <w:p w:rsidR="00085651" w:rsidRPr="00A8798F" w:rsidRDefault="00085651" w:rsidP="00470C06">
      <w:pPr>
        <w:pStyle w:val="NormalWeb"/>
        <w:spacing w:line="276" w:lineRule="auto"/>
        <w:ind w:left="480" w:hanging="480"/>
      </w:pPr>
      <w:r>
        <w:t>Visser</w:t>
      </w:r>
      <w:r w:rsidR="00A8798F">
        <w:t xml:space="preserve"> WAM</w:t>
      </w:r>
      <w:r>
        <w:t xml:space="preserve"> and MacIntosh</w:t>
      </w:r>
      <w:r w:rsidR="00A8798F">
        <w:t xml:space="preserve"> A (</w:t>
      </w:r>
      <w:r>
        <w:t>1998</w:t>
      </w:r>
      <w:r w:rsidR="00A8798F">
        <w:t xml:space="preserve">) A short review of the historical critique of usury. </w:t>
      </w:r>
      <w:r w:rsidR="00A8798F" w:rsidRPr="00470C06">
        <w:rPr>
          <w:rFonts w:hAnsi="Times New Roman" w:cs="Times New Roman"/>
          <w:i/>
          <w:iCs/>
          <w:lang w:val="en-NZ"/>
        </w:rPr>
        <w:t>Accounting</w:t>
      </w:r>
      <w:r w:rsidR="00A8798F">
        <w:rPr>
          <w:rFonts w:hAnsi="Times New Roman" w:cs="Times New Roman"/>
          <w:i/>
          <w:iCs/>
          <w:lang w:val="en-NZ"/>
        </w:rPr>
        <w:t>, Business and Financial</w:t>
      </w:r>
      <w:r w:rsidR="00A8798F" w:rsidRPr="00470C06">
        <w:rPr>
          <w:rFonts w:hAnsi="Times New Roman" w:cs="Times New Roman"/>
          <w:i/>
          <w:iCs/>
          <w:lang w:val="en-NZ"/>
        </w:rPr>
        <w:t xml:space="preserve"> History</w:t>
      </w:r>
      <w:r w:rsidR="00A8798F">
        <w:rPr>
          <w:rFonts w:hAnsi="Times New Roman" w:cs="Times New Roman"/>
          <w:i/>
          <w:iCs/>
          <w:lang w:val="en-NZ"/>
        </w:rPr>
        <w:t xml:space="preserve">, </w:t>
      </w:r>
      <w:r w:rsidR="00A8798F">
        <w:rPr>
          <w:rFonts w:hAnsi="Times New Roman" w:cs="Times New Roman"/>
          <w:iCs/>
          <w:lang w:val="en-NZ"/>
        </w:rPr>
        <w:t>8(2): 175-189</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Walker SP (1998) How to Secure your Husband’s Esteem. Accounting and Private Patriarchy in the British Middle Class Household during the Nineteenth Century. </w:t>
      </w:r>
      <w:r w:rsidRPr="00470C06">
        <w:rPr>
          <w:rFonts w:hAnsi="Times New Roman" w:cs="Times New Roman"/>
          <w:i/>
          <w:iCs/>
          <w:lang w:val="en-NZ"/>
        </w:rPr>
        <w:t>Accounting, Organizations and Society</w:t>
      </w:r>
      <w:r w:rsidRPr="00470C06">
        <w:rPr>
          <w:rFonts w:hAnsi="Times New Roman" w:cs="Times New Roman"/>
          <w:lang w:val="en-NZ"/>
        </w:rPr>
        <w:t xml:space="preserve">, </w:t>
      </w:r>
      <w:r w:rsidRPr="00470C06">
        <w:rPr>
          <w:rFonts w:hAnsi="Times New Roman" w:cs="Times New Roman"/>
          <w:i/>
          <w:iCs/>
          <w:lang w:val="en-NZ"/>
        </w:rPr>
        <w:t>23</w:t>
      </w:r>
      <w:r w:rsidRPr="00470C06">
        <w:rPr>
          <w:rFonts w:hAnsi="Times New Roman" w:cs="Times New Roman"/>
          <w:lang w:val="en-NZ"/>
        </w:rPr>
        <w:t>(5): 485–514.</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Walker SP (2006) Current Trends in Accounting History. </w:t>
      </w:r>
      <w:r w:rsidRPr="00470C06">
        <w:rPr>
          <w:rFonts w:hAnsi="Times New Roman" w:cs="Times New Roman"/>
          <w:i/>
          <w:iCs/>
          <w:lang w:val="en-NZ"/>
        </w:rPr>
        <w:t>The Irish Accounting Review</w:t>
      </w:r>
      <w:r w:rsidRPr="00470C06">
        <w:rPr>
          <w:rFonts w:hAnsi="Times New Roman" w:cs="Times New Roman"/>
          <w:lang w:val="en-NZ"/>
        </w:rPr>
        <w:t xml:space="preserve">, </w:t>
      </w:r>
      <w:r w:rsidRPr="00470C06">
        <w:rPr>
          <w:rFonts w:hAnsi="Times New Roman" w:cs="Times New Roman"/>
          <w:i/>
          <w:iCs/>
          <w:lang w:val="en-NZ"/>
        </w:rPr>
        <w:t>13:</w:t>
      </w:r>
      <w:r w:rsidRPr="00470C06">
        <w:rPr>
          <w:rFonts w:hAnsi="Times New Roman" w:cs="Times New Roman"/>
          <w:lang w:val="en-NZ"/>
        </w:rPr>
        <w:t xml:space="preserve"> 107–121.</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Webb S and Webb B (1924) </w:t>
      </w:r>
      <w:r w:rsidRPr="00470C06">
        <w:rPr>
          <w:rFonts w:hAnsi="Times New Roman" w:cs="Times New Roman"/>
          <w:i/>
          <w:iCs/>
          <w:lang w:val="en-NZ"/>
        </w:rPr>
        <w:t>English local government from the revolution to the Municipal Corporations Act: the manor and the borough</w:t>
      </w:r>
      <w:r w:rsidRPr="00470C06">
        <w:rPr>
          <w:rFonts w:hAnsi="Times New Roman" w:cs="Times New Roman"/>
          <w:lang w:val="en-NZ"/>
        </w:rPr>
        <w:t>. London, UK: Longmans, Green.</w:t>
      </w:r>
    </w:p>
    <w:p w:rsidR="00366B6D" w:rsidRPr="0034652E"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Weber </w:t>
      </w:r>
      <w:r w:rsidRPr="0034652E">
        <w:rPr>
          <w:rFonts w:hAnsi="Times New Roman" w:cs="Times New Roman"/>
          <w:lang w:val="en-NZ"/>
        </w:rPr>
        <w:t xml:space="preserve">M (1976) </w:t>
      </w:r>
      <w:r w:rsidRPr="0034652E">
        <w:rPr>
          <w:rFonts w:hAnsi="Times New Roman" w:cs="Times New Roman"/>
          <w:i/>
          <w:iCs/>
          <w:lang w:val="en-NZ"/>
        </w:rPr>
        <w:t>The Protestant ethic and the spirit of capitalism</w:t>
      </w:r>
      <w:r w:rsidRPr="0034652E">
        <w:rPr>
          <w:rFonts w:hAnsi="Times New Roman" w:cs="Times New Roman"/>
          <w:lang w:val="en-NZ"/>
        </w:rPr>
        <w:t>. (T. Parsons &amp; Translator, Eds.) (2nd ed., p. 292). London, UK: Allen &amp; Unwin.</w:t>
      </w:r>
    </w:p>
    <w:p w:rsidR="0034652E" w:rsidRPr="0034652E" w:rsidRDefault="0034652E" w:rsidP="00470C06">
      <w:pPr>
        <w:pStyle w:val="NormalWeb"/>
        <w:spacing w:line="276" w:lineRule="auto"/>
        <w:ind w:left="480" w:hanging="480"/>
        <w:rPr>
          <w:rFonts w:hAnsi="Times New Roman" w:cs="Times New Roman"/>
          <w:lang w:val="en-NZ"/>
        </w:rPr>
      </w:pPr>
      <w:r>
        <w:rPr>
          <w:rFonts w:hAnsi="Times New Roman" w:cs="Times New Roman"/>
          <w:color w:val="212121"/>
          <w:shd w:val="clear" w:color="auto" w:fill="FFFFFF"/>
        </w:rPr>
        <w:t xml:space="preserve">Welch E (1994) Lady Glenorchy’s Legacy. </w:t>
      </w:r>
      <w:r w:rsidRPr="0034652E">
        <w:rPr>
          <w:rFonts w:hAnsi="Times New Roman" w:cs="Times New Roman"/>
          <w:color w:val="212121"/>
          <w:shd w:val="clear" w:color="auto" w:fill="FFFFFF"/>
        </w:rPr>
        <w:t>Journal of the United Reformed Church History Society</w:t>
      </w:r>
      <w:r>
        <w:rPr>
          <w:rFonts w:hAnsi="Times New Roman" w:cs="Times New Roman"/>
          <w:color w:val="212121"/>
          <w:shd w:val="clear" w:color="auto" w:fill="FFFFFF"/>
        </w:rPr>
        <w:t xml:space="preserve">, </w:t>
      </w:r>
      <w:r w:rsidRPr="0034652E">
        <w:rPr>
          <w:rFonts w:hAnsi="Times New Roman" w:cs="Times New Roman"/>
          <w:color w:val="212121"/>
          <w:shd w:val="clear" w:color="auto" w:fill="FFFFFF"/>
        </w:rPr>
        <w:t>5</w:t>
      </w:r>
      <w:r>
        <w:rPr>
          <w:rFonts w:hAnsi="Times New Roman" w:cs="Times New Roman"/>
          <w:color w:val="212121"/>
          <w:shd w:val="clear" w:color="auto" w:fill="FFFFFF"/>
        </w:rPr>
        <w:t>(</w:t>
      </w:r>
      <w:r w:rsidRPr="0034652E">
        <w:rPr>
          <w:rFonts w:hAnsi="Times New Roman" w:cs="Times New Roman"/>
          <w:color w:val="212121"/>
          <w:shd w:val="clear" w:color="auto" w:fill="FFFFFF"/>
        </w:rPr>
        <w:t>4</w:t>
      </w:r>
      <w:r>
        <w:rPr>
          <w:rFonts w:hAnsi="Times New Roman" w:cs="Times New Roman"/>
          <w:color w:val="212121"/>
          <w:shd w:val="clear" w:color="auto" w:fill="FFFFFF"/>
        </w:rPr>
        <w:t>): 211-215</w:t>
      </w:r>
    </w:p>
    <w:p w:rsidR="00366B6D" w:rsidRPr="0034652E" w:rsidRDefault="000D1A57" w:rsidP="00470C06">
      <w:pPr>
        <w:pStyle w:val="NormalWeb"/>
        <w:spacing w:line="276" w:lineRule="auto"/>
        <w:ind w:left="480" w:hanging="480"/>
        <w:rPr>
          <w:rFonts w:hAnsi="Times New Roman" w:cs="Times New Roman"/>
          <w:lang w:val="en-NZ"/>
        </w:rPr>
      </w:pPr>
      <w:r w:rsidRPr="0034652E">
        <w:rPr>
          <w:rFonts w:hAnsi="Times New Roman" w:cs="Times New Roman"/>
          <w:lang w:val="en-NZ"/>
        </w:rPr>
        <w:t xml:space="preserve">Wissler TE (2013) Accounting for eternal glory: Financial statements on temple stelae in nineteenth-century South China. </w:t>
      </w:r>
      <w:r w:rsidRPr="0034652E">
        <w:rPr>
          <w:rFonts w:hAnsi="Times New Roman" w:cs="Times New Roman"/>
          <w:i/>
          <w:iCs/>
          <w:lang w:val="en-NZ"/>
        </w:rPr>
        <w:t>Accounting History</w:t>
      </w:r>
      <w:r w:rsidRPr="0034652E">
        <w:rPr>
          <w:rFonts w:hAnsi="Times New Roman" w:cs="Times New Roman"/>
          <w:lang w:val="en-NZ"/>
        </w:rPr>
        <w:t xml:space="preserve">, </w:t>
      </w:r>
      <w:r w:rsidRPr="0034652E">
        <w:rPr>
          <w:rFonts w:hAnsi="Times New Roman" w:cs="Times New Roman"/>
          <w:i/>
          <w:iCs/>
          <w:lang w:val="en-NZ"/>
        </w:rPr>
        <w:t>18</w:t>
      </w:r>
      <w:r w:rsidRPr="0034652E">
        <w:rPr>
          <w:rFonts w:hAnsi="Times New Roman" w:cs="Times New Roman"/>
          <w:lang w:val="en-NZ"/>
        </w:rPr>
        <w:t>(2): 229–255. doi:10.1177/1032373212471529</w:t>
      </w:r>
    </w:p>
    <w:p w:rsidR="00366B6D" w:rsidRPr="00470C06" w:rsidRDefault="000D1A57" w:rsidP="00470C06">
      <w:pPr>
        <w:pStyle w:val="NormalWeb"/>
        <w:spacing w:line="276" w:lineRule="auto"/>
        <w:ind w:left="480" w:hanging="480"/>
        <w:rPr>
          <w:rFonts w:hAnsi="Times New Roman" w:cs="Times New Roman"/>
          <w:lang w:val="en-NZ"/>
        </w:rPr>
      </w:pPr>
      <w:r w:rsidRPr="0034652E">
        <w:rPr>
          <w:rFonts w:hAnsi="Times New Roman" w:cs="Times New Roman"/>
          <w:lang w:val="en-NZ"/>
        </w:rPr>
        <w:t xml:space="preserve">Wong BK and Martinez R (2008) Introduction to the Theme Issue: The Iron Cage Unchained : Christian Perspectives on Business in the Post-Modern Age. </w:t>
      </w:r>
      <w:r w:rsidRPr="0034652E">
        <w:rPr>
          <w:rFonts w:hAnsi="Times New Roman" w:cs="Times New Roman"/>
          <w:i/>
          <w:iCs/>
          <w:lang w:val="en-NZ"/>
        </w:rPr>
        <w:t>Christian Scholar’s</w:t>
      </w:r>
      <w:r w:rsidRPr="00470C06">
        <w:rPr>
          <w:rFonts w:hAnsi="Times New Roman" w:cs="Times New Roman"/>
          <w:i/>
          <w:iCs/>
          <w:lang w:val="en-NZ"/>
        </w:rPr>
        <w:t xml:space="preserve"> Review</w:t>
      </w:r>
      <w:r w:rsidRPr="00470C06">
        <w:rPr>
          <w:rFonts w:hAnsi="Times New Roman" w:cs="Times New Roman"/>
          <w:lang w:val="en-NZ"/>
        </w:rPr>
        <w:t xml:space="preserve">, </w:t>
      </w:r>
      <w:r w:rsidRPr="00470C06">
        <w:rPr>
          <w:rFonts w:hAnsi="Times New Roman" w:cs="Times New Roman"/>
          <w:i/>
          <w:iCs/>
          <w:lang w:val="en-NZ"/>
        </w:rPr>
        <w:t>38</w:t>
      </w:r>
      <w:r w:rsidRPr="00470C06">
        <w:rPr>
          <w:rFonts w:hAnsi="Times New Roman" w:cs="Times New Roman"/>
          <w:lang w:val="en-NZ"/>
        </w:rPr>
        <w:t>(1): 11–13.</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Yayla HE (2011) Operating regimes of the government: Accounting and accountability changes in the Sultan Suleyman Waqf of the Ottoman Empire (The 1826 Experience). </w:t>
      </w:r>
      <w:r w:rsidRPr="00470C06">
        <w:rPr>
          <w:rFonts w:hAnsi="Times New Roman" w:cs="Times New Roman"/>
          <w:i/>
          <w:iCs/>
          <w:lang w:val="en-NZ"/>
        </w:rPr>
        <w:t>Accounting History</w:t>
      </w:r>
      <w:r w:rsidRPr="00470C06">
        <w:rPr>
          <w:rFonts w:hAnsi="Times New Roman" w:cs="Times New Roman"/>
          <w:lang w:val="en-NZ"/>
        </w:rPr>
        <w:t xml:space="preserve">, </w:t>
      </w:r>
      <w:r w:rsidRPr="00470C06">
        <w:rPr>
          <w:rFonts w:hAnsi="Times New Roman" w:cs="Times New Roman"/>
          <w:i/>
          <w:iCs/>
          <w:lang w:val="en-NZ"/>
        </w:rPr>
        <w:t>16</w:t>
      </w:r>
      <w:r w:rsidRPr="00470C06">
        <w:rPr>
          <w:rFonts w:hAnsi="Times New Roman" w:cs="Times New Roman"/>
          <w:lang w:val="en-NZ"/>
        </w:rPr>
        <w:t>(1): 5–34. doi:10.1177/1032373210389320</w:t>
      </w:r>
    </w:p>
    <w:p w:rsidR="00366B6D" w:rsidRPr="00470C06" w:rsidRDefault="000D1A57" w:rsidP="00470C06">
      <w:pPr>
        <w:pStyle w:val="NormalWeb"/>
        <w:spacing w:line="276" w:lineRule="auto"/>
        <w:ind w:left="480" w:hanging="480"/>
        <w:rPr>
          <w:rFonts w:hAnsi="Times New Roman" w:cs="Times New Roman"/>
          <w:lang w:val="en-NZ"/>
        </w:rPr>
      </w:pPr>
      <w:r w:rsidRPr="00470C06">
        <w:rPr>
          <w:rFonts w:hAnsi="Times New Roman" w:cs="Times New Roman"/>
          <w:lang w:val="en-NZ"/>
        </w:rPr>
        <w:t xml:space="preserve">Zaid OA (2004) Accounting systems and recording procedures in the early Islamic state. </w:t>
      </w:r>
      <w:r w:rsidRPr="00470C06">
        <w:rPr>
          <w:rFonts w:hAnsi="Times New Roman" w:cs="Times New Roman"/>
          <w:i/>
          <w:iCs/>
          <w:lang w:val="en-NZ"/>
        </w:rPr>
        <w:t>Accounting Historians Journal</w:t>
      </w:r>
      <w:r w:rsidRPr="00470C06">
        <w:rPr>
          <w:rFonts w:hAnsi="Times New Roman" w:cs="Times New Roman"/>
          <w:lang w:val="en-NZ"/>
        </w:rPr>
        <w:t xml:space="preserve">, </w:t>
      </w:r>
      <w:r w:rsidRPr="00470C06">
        <w:rPr>
          <w:rFonts w:hAnsi="Times New Roman" w:cs="Times New Roman"/>
          <w:i/>
          <w:iCs/>
          <w:lang w:val="en-NZ"/>
        </w:rPr>
        <w:t>31</w:t>
      </w:r>
      <w:r w:rsidRPr="00470C06">
        <w:rPr>
          <w:rFonts w:hAnsi="Times New Roman" w:cs="Times New Roman"/>
          <w:lang w:val="en-NZ"/>
        </w:rPr>
        <w:t>(2): 149–170.</w:t>
      </w:r>
    </w:p>
    <w:p w:rsidR="00366B6D" w:rsidRDefault="000D1A57" w:rsidP="00712449">
      <w:pPr>
        <w:spacing w:line="276" w:lineRule="auto"/>
        <w:rPr>
          <w:rFonts w:hAnsi="Times New Roman" w:cs="Times New Roman"/>
          <w:lang w:val="en-NZ"/>
        </w:rPr>
      </w:pPr>
      <w:r w:rsidRPr="00470C06">
        <w:rPr>
          <w:rFonts w:hAnsi="Times New Roman" w:cs="Times New Roman"/>
          <w:lang w:val="en-NZ"/>
        </w:rPr>
        <w:t xml:space="preserve">Zan L (1994) Toward a history of accounting histories. </w:t>
      </w:r>
      <w:r w:rsidRPr="00470C06">
        <w:rPr>
          <w:rFonts w:hAnsi="Times New Roman" w:cs="Times New Roman"/>
          <w:i/>
          <w:iCs/>
          <w:lang w:val="en-NZ"/>
        </w:rPr>
        <w:t>European Accounting Review</w:t>
      </w:r>
      <w:r w:rsidRPr="00470C06">
        <w:rPr>
          <w:rFonts w:hAnsi="Times New Roman" w:cs="Times New Roman"/>
          <w:lang w:val="en-NZ"/>
        </w:rPr>
        <w:t>, 3(2): 255–310. doi:10.1080/09638189400000021</w:t>
      </w:r>
    </w:p>
    <w:p w:rsidR="004E1231" w:rsidRPr="007D3040" w:rsidRDefault="004E1231" w:rsidP="00712449">
      <w:pPr>
        <w:spacing w:line="276" w:lineRule="auto"/>
        <w:rPr>
          <w:lang w:val="en-NZ"/>
        </w:rPr>
      </w:pPr>
    </w:p>
    <w:sectPr w:rsidR="004E1231" w:rsidRPr="007D3040">
      <w:endnotePr>
        <w:numFmt w:val="decimal"/>
      </w:endnotePr>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6D" w:rsidRDefault="000F5A6D">
      <w:r>
        <w:separator/>
      </w:r>
    </w:p>
  </w:endnote>
  <w:endnote w:type="continuationSeparator" w:id="0">
    <w:p w:rsidR="000F5A6D" w:rsidRDefault="000F5A6D">
      <w:r>
        <w:continuationSeparator/>
      </w:r>
    </w:p>
  </w:endnote>
  <w:endnote w:type="continuationNotice" w:id="1">
    <w:p w:rsidR="000F5A6D" w:rsidRDefault="000F5A6D"/>
  </w:endnote>
  <w:endnote w:id="2">
    <w:p w:rsidR="00D80954" w:rsidRPr="00633C2C" w:rsidRDefault="00D80954" w:rsidP="00633C2C">
      <w:pPr>
        <w:pStyle w:val="EndnoteText"/>
        <w:tabs>
          <w:tab w:val="left" w:pos="284"/>
        </w:tabs>
        <w:ind w:left="284" w:hanging="284"/>
        <w:rPr>
          <w:lang w:val="en-NZ"/>
        </w:rPr>
      </w:pPr>
      <w:r>
        <w:rPr>
          <w:rStyle w:val="EndnoteReference"/>
        </w:rPr>
        <w:endnoteRef/>
      </w:r>
      <w:r>
        <w:t xml:space="preserve"> </w:t>
      </w:r>
      <w:r>
        <w:rPr>
          <w:lang w:val="en-NZ"/>
        </w:rPr>
        <w:tab/>
        <w:t>Napier’s (2009a) categorisation of accounting history in general, is a further example of a dichotomisation.</w:t>
      </w:r>
    </w:p>
  </w:endnote>
  <w:endnote w:id="3">
    <w:p w:rsidR="00D80954" w:rsidRPr="00470C06" w:rsidRDefault="00D80954">
      <w:pPr>
        <w:pStyle w:val="EndnoteText"/>
        <w:tabs>
          <w:tab w:val="left" w:pos="284"/>
        </w:tabs>
      </w:pPr>
      <w:r>
        <w:rPr>
          <w:vertAlign w:val="superscript"/>
        </w:rPr>
        <w:endnoteRef/>
      </w:r>
      <w:r>
        <w:t xml:space="preserve"> </w:t>
      </w:r>
      <w:r>
        <w:tab/>
        <w:t>This was know</w:t>
      </w:r>
      <w:r w:rsidRPr="00470C06">
        <w:t xml:space="preserve">n as </w:t>
      </w:r>
      <w:r w:rsidRPr="00470C06">
        <w:rPr>
          <w:i/>
          <w:iCs/>
        </w:rPr>
        <w:t>Accounting, Business and Financial History</w:t>
      </w:r>
      <w:r w:rsidRPr="00470C06">
        <w:t xml:space="preserve"> until 2010.</w:t>
      </w:r>
    </w:p>
  </w:endnote>
  <w:endnote w:id="4">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 xml:space="preserve">The authors suggest that the </w:t>
      </w:r>
      <w:r w:rsidRPr="00470C06">
        <w:rPr>
          <w:i/>
          <w:iCs/>
        </w:rPr>
        <w:t>feng shui</w:t>
      </w:r>
      <w:r w:rsidRPr="00470C06">
        <w:t xml:space="preserve"> concept is not a religious one, although it is acknowledged that it has had a significant effect on governmental accounting, as well as the development of bookkeeping and the profession (Gao &amp; Handley-Schachler, 2003).</w:t>
      </w:r>
    </w:p>
  </w:endnote>
  <w:endnote w:id="5">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Accounting developments were not solely due to religious influences of course, as shown for example, by Kautilya's Arthasastra (c.300 BC) (Mattessich, 1998).</w:t>
      </w:r>
    </w:p>
  </w:endnote>
  <w:endnote w:id="6">
    <w:p w:rsidR="00D80954" w:rsidRPr="00470C06" w:rsidRDefault="00D80954">
      <w:pPr>
        <w:tabs>
          <w:tab w:val="left" w:pos="284"/>
        </w:tabs>
        <w:ind w:left="284" w:hanging="284"/>
        <w:rPr>
          <w:rFonts w:hAnsi="Times New Roman" w:cs="Times New Roman"/>
        </w:rPr>
      </w:pPr>
      <w:r w:rsidRPr="00470C06">
        <w:rPr>
          <w:rFonts w:hAnsi="Times New Roman" w:cs="Times New Roman"/>
          <w:vertAlign w:val="superscript"/>
        </w:rPr>
        <w:endnoteRef/>
      </w:r>
      <w:r w:rsidRPr="00470C06">
        <w:rPr>
          <w:rFonts w:hAnsi="Times New Roman" w:cs="Times New Roman"/>
          <w:sz w:val="20"/>
          <w:szCs w:val="20"/>
        </w:rPr>
        <w:t xml:space="preserve"> </w:t>
      </w:r>
      <w:r w:rsidRPr="00470C06">
        <w:rPr>
          <w:rFonts w:hAnsi="Times New Roman" w:cs="Times New Roman"/>
          <w:sz w:val="20"/>
          <w:szCs w:val="20"/>
        </w:rPr>
        <w:tab/>
        <w:t>It is likely that these studies were inspired by an earlier study of accounting in the Harmonists (an Indiana religious society) covering the early nineteenth century by Flesher and Flesher (1979)</w:t>
      </w:r>
      <w:r>
        <w:rPr>
          <w:rFonts w:hAnsi="Times New Roman" w:cs="Times New Roman"/>
          <w:sz w:val="20"/>
          <w:szCs w:val="20"/>
        </w:rPr>
        <w:t>,</w:t>
      </w:r>
      <w:r w:rsidRPr="00470C06">
        <w:rPr>
          <w:rFonts w:hAnsi="Times New Roman" w:cs="Times New Roman"/>
          <w:sz w:val="20"/>
          <w:szCs w:val="20"/>
        </w:rPr>
        <w:t xml:space="preserve"> which is earlier than the contributions covered in this review.</w:t>
      </w:r>
    </w:p>
  </w:endnote>
  <w:endnote w:id="7">
    <w:p w:rsidR="00D80954" w:rsidRPr="00470C06" w:rsidRDefault="00D80954" w:rsidP="00211CA1">
      <w:pPr>
        <w:pStyle w:val="EndnoteText"/>
        <w:tabs>
          <w:tab w:val="left" w:pos="284"/>
        </w:tabs>
        <w:ind w:left="284" w:hanging="284"/>
      </w:pPr>
      <w:r w:rsidRPr="00470C06">
        <w:rPr>
          <w:vertAlign w:val="superscript"/>
        </w:rPr>
        <w:endnoteRef/>
      </w:r>
      <w:r w:rsidRPr="00470C06">
        <w:t xml:space="preserve"> </w:t>
      </w:r>
      <w:r w:rsidRPr="00470C06">
        <w:tab/>
        <w:t xml:space="preserve">In addition to Table 1, Appendix 1 (Figure A2) shows contributions by theoretical framework, </w:t>
      </w:r>
      <w:r>
        <w:t>a</w:t>
      </w:r>
      <w:r w:rsidRPr="00470C06">
        <w:t>nd by year of publication.</w:t>
      </w:r>
    </w:p>
  </w:endnote>
  <w:endnote w:id="8">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 xml:space="preserve">See: </w:t>
      </w:r>
      <w:hyperlink r:id="rId1" w:history="1">
        <w:r w:rsidRPr="00470C06">
          <w:rPr>
            <w:rStyle w:val="Hyperlink0"/>
          </w:rPr>
          <w:t>http://www.catholicherald.co.uk/issues/december-5th-2014/the-days-of-ripping-off-the-vatican-are-over/</w:t>
        </w:r>
      </w:hyperlink>
      <w:r w:rsidRPr="00470C06">
        <w:t xml:space="preserve">. Cardinal Pell appears to </w:t>
      </w:r>
      <w:r>
        <w:t>hold</w:t>
      </w:r>
      <w:r w:rsidRPr="00470C06">
        <w:t xml:space="preserve"> a sanguine belief that churches in non-Italian-speaking countries abide by international financial reporting standards, nevertheless, this is not the author’s experience. </w:t>
      </w:r>
    </w:p>
  </w:endnote>
  <w:endnote w:id="9">
    <w:p w:rsidR="00D80954" w:rsidRPr="0070092E" w:rsidRDefault="00D80954" w:rsidP="0070092E">
      <w:pPr>
        <w:pStyle w:val="EndnoteText"/>
        <w:tabs>
          <w:tab w:val="left" w:pos="284"/>
        </w:tabs>
        <w:ind w:left="284" w:hanging="284"/>
        <w:rPr>
          <w:lang w:val="en-NZ"/>
        </w:rPr>
      </w:pPr>
      <w:r>
        <w:rPr>
          <w:rStyle w:val="EndnoteReference"/>
        </w:rPr>
        <w:endnoteRef/>
      </w:r>
      <w:r>
        <w:t xml:space="preserve"> </w:t>
      </w:r>
      <w:r>
        <w:rPr>
          <w:lang w:val="en-NZ"/>
        </w:rPr>
        <w:tab/>
        <w:t xml:space="preserve">Nevertheless, management is not without challenges, as outlined by </w:t>
      </w:r>
      <w:r w:rsidRPr="002925AE">
        <w:rPr>
          <w:lang w:val="en-NZ"/>
        </w:rPr>
        <w:t>a contemporary study of a 1,000 year old Austrian Benedictine Abbey under financial distress</w:t>
      </w:r>
      <w:r>
        <w:rPr>
          <w:lang w:val="en-NZ"/>
        </w:rPr>
        <w:t xml:space="preserve"> by</w:t>
      </w:r>
      <w:r w:rsidRPr="002925AE">
        <w:rPr>
          <w:lang w:val="en-NZ"/>
        </w:rPr>
        <w:t xml:space="preserve"> Payer-Langthaler and Hiebl</w:t>
      </w:r>
      <w:r>
        <w:rPr>
          <w:lang w:val="en-NZ"/>
        </w:rPr>
        <w:t>,</w:t>
      </w:r>
      <w:r w:rsidRPr="002925AE">
        <w:rPr>
          <w:lang w:val="en-NZ"/>
        </w:rPr>
        <w:t xml:space="preserve"> 2013</w:t>
      </w:r>
      <w:r>
        <w:rPr>
          <w:lang w:val="en-NZ"/>
        </w:rPr>
        <w:t>.</w:t>
      </w:r>
    </w:p>
  </w:endnote>
  <w:endnote w:id="10">
    <w:p w:rsidR="00D80954" w:rsidRPr="0070092E" w:rsidRDefault="00D80954" w:rsidP="0070092E">
      <w:pPr>
        <w:pStyle w:val="EndnoteText"/>
        <w:tabs>
          <w:tab w:val="left" w:pos="284"/>
        </w:tabs>
        <w:ind w:left="284" w:hanging="284"/>
        <w:rPr>
          <w:lang w:val="en-NZ"/>
        </w:rPr>
      </w:pPr>
      <w:r>
        <w:rPr>
          <w:rStyle w:val="EndnoteReference"/>
        </w:rPr>
        <w:endnoteRef/>
      </w:r>
      <w:r>
        <w:t xml:space="preserve"> </w:t>
      </w:r>
      <w:r>
        <w:rPr>
          <w:lang w:val="en-NZ"/>
        </w:rPr>
        <w:tab/>
        <w:t xml:space="preserve">A contemporary study by </w:t>
      </w:r>
      <w:r w:rsidRPr="002925AE">
        <w:rPr>
          <w:lang w:val="en-NZ"/>
        </w:rPr>
        <w:t>Hiebl and Feldbauer-Durstmüller</w:t>
      </w:r>
      <w:r>
        <w:rPr>
          <w:lang w:val="en-NZ"/>
        </w:rPr>
        <w:t xml:space="preserve"> (</w:t>
      </w:r>
      <w:r w:rsidRPr="002925AE">
        <w:rPr>
          <w:lang w:val="en-NZ"/>
        </w:rPr>
        <w:t>2014</w:t>
      </w:r>
      <w:r>
        <w:rPr>
          <w:lang w:val="en-NZ"/>
        </w:rPr>
        <w:t>)</w:t>
      </w:r>
      <w:r w:rsidRPr="002925AE">
        <w:rPr>
          <w:lang w:val="en-NZ"/>
        </w:rPr>
        <w:t xml:space="preserve"> us</w:t>
      </w:r>
      <w:r>
        <w:rPr>
          <w:lang w:val="en-NZ"/>
        </w:rPr>
        <w:t>es</w:t>
      </w:r>
      <w:r w:rsidRPr="002925AE">
        <w:rPr>
          <w:lang w:val="en-NZ"/>
        </w:rPr>
        <w:t xml:space="preserve"> organisational role theory </w:t>
      </w:r>
      <w:r>
        <w:rPr>
          <w:lang w:val="en-NZ"/>
        </w:rPr>
        <w:t xml:space="preserve">to recommend that the cellarer hold </w:t>
      </w:r>
      <w:r w:rsidRPr="002925AE">
        <w:rPr>
          <w:lang w:val="en-NZ"/>
        </w:rPr>
        <w:t xml:space="preserve">professional qualifications in financial management </w:t>
      </w:r>
      <w:r>
        <w:rPr>
          <w:lang w:val="en-NZ"/>
        </w:rPr>
        <w:t>to enhance the abbey’s</w:t>
      </w:r>
      <w:r w:rsidRPr="002925AE">
        <w:rPr>
          <w:lang w:val="en-NZ"/>
        </w:rPr>
        <w:t xml:space="preserve"> sustainability</w:t>
      </w:r>
      <w:r>
        <w:rPr>
          <w:lang w:val="en-NZ"/>
        </w:rPr>
        <w:t xml:space="preserve"> and meet its performance goals</w:t>
      </w:r>
      <w:r w:rsidRPr="002925AE">
        <w:rPr>
          <w:lang w:val="en-NZ"/>
        </w:rPr>
        <w:t>.</w:t>
      </w:r>
    </w:p>
  </w:endnote>
  <w:endnote w:id="11">
    <w:p w:rsidR="00D80954" w:rsidRPr="00470C06" w:rsidRDefault="00D80954" w:rsidP="00154744">
      <w:pPr>
        <w:pStyle w:val="EndnoteText"/>
        <w:tabs>
          <w:tab w:val="left" w:pos="284"/>
        </w:tabs>
        <w:ind w:left="284" w:hanging="284"/>
      </w:pPr>
      <w:r w:rsidRPr="00470C06">
        <w:rPr>
          <w:vertAlign w:val="superscript"/>
        </w:rPr>
        <w:endnoteRef/>
      </w:r>
      <w:r w:rsidRPr="00470C06">
        <w:t xml:space="preserve"> </w:t>
      </w:r>
      <w:r w:rsidRPr="00470C06">
        <w:tab/>
        <w:t>Nevertheless, McClean (1990), in reviewing State finance for European churches, shows that this belief is also contextually based. While Laughlin</w:t>
      </w:r>
      <w:r>
        <w:t>’</w:t>
      </w:r>
      <w:r w:rsidRPr="00470C06">
        <w:t xml:space="preserve">s </w:t>
      </w:r>
      <w:r>
        <w:t>focus is</w:t>
      </w:r>
      <w:r w:rsidRPr="00470C06">
        <w:t xml:space="preserve"> England, different histories are evident from Greece, Germany and Spain and, notes Zan (1994), Italy. </w:t>
      </w:r>
    </w:p>
  </w:endnote>
  <w:endnote w:id="12">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 xml:space="preserve">Karim (1990) describes the constraints of Islamic banking and auditing of them. For a description of specific aspects of Islamic commerce, see Hamid, Craig and Clarke (1993).  </w:t>
      </w:r>
    </w:p>
  </w:endnote>
  <w:endnote w:id="13">
    <w:p w:rsidR="00D80954" w:rsidRPr="00470C06" w:rsidRDefault="00D80954">
      <w:pPr>
        <w:pStyle w:val="EndnoteText"/>
        <w:tabs>
          <w:tab w:val="left" w:pos="284"/>
        </w:tabs>
        <w:ind w:left="284" w:hanging="284"/>
      </w:pPr>
      <w:r w:rsidRPr="00470C06">
        <w:rPr>
          <w:vertAlign w:val="superscript"/>
        </w:rPr>
        <w:endnoteRef/>
      </w:r>
      <w:r>
        <w:t xml:space="preserve"> </w:t>
      </w:r>
      <w:r>
        <w:tab/>
        <w:t>Nevertheless,</w:t>
      </w:r>
      <w:r w:rsidRPr="00470C06">
        <w:t xml:space="preserve"> Badshah, Mellemvik</w:t>
      </w:r>
      <w:r>
        <w:t xml:space="preserve"> and</w:t>
      </w:r>
      <w:r w:rsidRPr="00470C06">
        <w:t xml:space="preserve"> Timoshenko (2013) argue that, as much of the regulatory and accounting systems in Pakistan were inherited from the English colony, they are not informed by Islam at all.</w:t>
      </w:r>
    </w:p>
  </w:endnote>
  <w:endnote w:id="14">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 xml:space="preserve">The authors do not recount historical examples of unethical behaviour, but Posner’s (2015) book on Bank Ambrosiano provides a number of Roman Catholic examples. </w:t>
      </w:r>
    </w:p>
  </w:endnote>
  <w:endnote w:id="15">
    <w:p w:rsidR="00D80954" w:rsidRPr="00566B50" w:rsidRDefault="00D80954" w:rsidP="00566B50">
      <w:pPr>
        <w:pStyle w:val="EndnoteText"/>
        <w:tabs>
          <w:tab w:val="left" w:pos="284"/>
        </w:tabs>
        <w:ind w:left="284" w:hanging="284"/>
        <w:rPr>
          <w:lang w:val="en-NZ"/>
        </w:rPr>
      </w:pPr>
      <w:r>
        <w:rPr>
          <w:rStyle w:val="EndnoteReference"/>
        </w:rPr>
        <w:endnoteRef/>
      </w:r>
      <w:r>
        <w:t xml:space="preserve"> </w:t>
      </w:r>
      <w:r>
        <w:rPr>
          <w:lang w:val="en-NZ"/>
        </w:rPr>
        <w:tab/>
      </w:r>
      <w:r w:rsidRPr="002925AE">
        <w:rPr>
          <w:lang w:val="en-NZ"/>
        </w:rPr>
        <w:t>Hardy and Ballis (2013) analyse the accountability of Sanitarium and aspects of their social enterprise which funds the work of the Seventh Day Adventist Church. A lack of publicly available data limited the conclusions they could draw.</w:t>
      </w:r>
    </w:p>
  </w:endnote>
  <w:endnote w:id="16">
    <w:p w:rsidR="00D80954" w:rsidRPr="00470C06" w:rsidRDefault="00D80954" w:rsidP="00470C06">
      <w:pPr>
        <w:pStyle w:val="EndnoteText"/>
        <w:tabs>
          <w:tab w:val="left" w:pos="284"/>
        </w:tabs>
        <w:ind w:left="284" w:hanging="284"/>
        <w:rPr>
          <w:lang w:val="en-NZ"/>
        </w:rPr>
      </w:pPr>
      <w:r w:rsidRPr="00470C06">
        <w:rPr>
          <w:rStyle w:val="EndnoteReference"/>
        </w:rPr>
        <w:endnoteRef/>
      </w:r>
      <w:r w:rsidRPr="00470C06">
        <w:t xml:space="preserve"> </w:t>
      </w:r>
      <w:r w:rsidRPr="00470C06">
        <w:rPr>
          <w:lang w:val="en-NZ"/>
        </w:rPr>
        <w:tab/>
        <w:t>Zionism</w:t>
      </w:r>
      <w:r>
        <w:rPr>
          <w:lang w:val="en-NZ"/>
        </w:rPr>
        <w:t xml:space="preserve"> is</w:t>
      </w:r>
      <w:r w:rsidRPr="00470C06">
        <w:rPr>
          <w:lang w:val="en-NZ"/>
        </w:rPr>
        <w:t xml:space="preserve"> a Jewish political movement </w:t>
      </w:r>
      <w:r>
        <w:rPr>
          <w:lang w:val="en-NZ"/>
        </w:rPr>
        <w:t xml:space="preserve">which </w:t>
      </w:r>
      <w:r w:rsidRPr="00470C06">
        <w:rPr>
          <w:lang w:val="en-NZ"/>
        </w:rPr>
        <w:t>support</w:t>
      </w:r>
      <w:r>
        <w:rPr>
          <w:lang w:val="en-NZ"/>
        </w:rPr>
        <w:t>s</w:t>
      </w:r>
      <w:r w:rsidRPr="00470C06">
        <w:rPr>
          <w:lang w:val="en-NZ"/>
        </w:rPr>
        <w:t xml:space="preserve"> re-establishment of Israel as the Jewish homeland until 1948 and continues to advocate for Israel’s continued existence. </w:t>
      </w:r>
    </w:p>
  </w:endnote>
  <w:endnote w:id="17">
    <w:p w:rsidR="00D80954" w:rsidRPr="00470C06" w:rsidRDefault="00D80954">
      <w:pPr>
        <w:pStyle w:val="EndnoteText"/>
        <w:ind w:left="284" w:hanging="284"/>
      </w:pPr>
      <w:r w:rsidRPr="00470C06">
        <w:rPr>
          <w:vertAlign w:val="superscript"/>
        </w:rPr>
        <w:endnoteRef/>
      </w:r>
      <w:r w:rsidRPr="00470C06">
        <w:t xml:space="preserve"> </w:t>
      </w:r>
      <w:r w:rsidRPr="00470C06">
        <w:tab/>
        <w:t>The impact of the religious orders on popular education led to the expulsion of the Jesuits from Spain in 1767 (Alvarez-Dardet Espejo et al., 2006).</w:t>
      </w:r>
    </w:p>
  </w:endnote>
  <w:endnote w:id="18">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Robbins and Lapsley (2008) apply Salamon’s theory of ‘voluntary failure’ to their study of Irish hospitals established as voluntary organisations from 1718 onwards (and Roman Catholic from 1829 onwards). However, their emphasis is on nationalisation as a result of the financial failure of these voluntary organisations, rather than unique religious influences.</w:t>
      </w:r>
    </w:p>
  </w:endnote>
  <w:endnote w:id="19">
    <w:p w:rsidR="00D80954" w:rsidRPr="00470C06" w:rsidRDefault="00D80954">
      <w:pPr>
        <w:pStyle w:val="EndnoteText"/>
        <w:tabs>
          <w:tab w:val="left" w:pos="284"/>
        </w:tabs>
        <w:ind w:left="284" w:hanging="284"/>
      </w:pPr>
      <w:r w:rsidRPr="00470C06">
        <w:rPr>
          <w:vertAlign w:val="superscript"/>
        </w:rPr>
        <w:endnoteRef/>
      </w:r>
      <w:r w:rsidRPr="00470C06">
        <w:t xml:space="preserve"> </w:t>
      </w:r>
      <w:r w:rsidRPr="00470C06">
        <w:tab/>
        <w:t xml:space="preserve">Derks (2008) states that such State (or monopolistic) control is a strong second function for double-entry bookkeeping. </w:t>
      </w:r>
    </w:p>
  </w:endnote>
  <w:endnote w:id="20">
    <w:p w:rsidR="00D80954" w:rsidRPr="00470C06" w:rsidRDefault="00D80954" w:rsidP="008E69C2">
      <w:pPr>
        <w:pStyle w:val="EndnoteText"/>
        <w:tabs>
          <w:tab w:val="left" w:pos="284"/>
        </w:tabs>
        <w:ind w:left="284" w:hanging="284"/>
        <w:rPr>
          <w:lang w:val="en-NZ"/>
        </w:rPr>
      </w:pPr>
      <w:r w:rsidRPr="00470C06">
        <w:rPr>
          <w:rStyle w:val="EndnoteReference"/>
        </w:rPr>
        <w:endnoteRef/>
      </w:r>
      <w:r w:rsidRPr="00470C06">
        <w:t xml:space="preserve"> </w:t>
      </w:r>
      <w:r w:rsidR="001D1E66">
        <w:tab/>
      </w:r>
      <w:r w:rsidRPr="00470C06">
        <w:rPr>
          <w:i/>
          <w:lang w:val="en-NZ"/>
        </w:rPr>
        <w:t>Critical Perspectives on Accounting</w:t>
      </w:r>
      <w:r w:rsidRPr="00470C06">
        <w:rPr>
          <w:lang w:val="en-NZ"/>
        </w:rPr>
        <w:t xml:space="preserve"> published a special issue built around Molisa’s “Spiritual Reflection on Emancipation and Accounting”, in 2011 which generated debate on this issue. </w:t>
      </w:r>
    </w:p>
  </w:endnote>
  <w:endnote w:id="21">
    <w:p w:rsidR="00D80954" w:rsidRPr="00BE5F70" w:rsidRDefault="00D80954">
      <w:pPr>
        <w:pStyle w:val="EndnoteText"/>
        <w:tabs>
          <w:tab w:val="left" w:pos="284"/>
        </w:tabs>
        <w:ind w:left="284" w:hanging="284"/>
      </w:pPr>
      <w:r w:rsidRPr="00470C06">
        <w:rPr>
          <w:vertAlign w:val="superscript"/>
        </w:rPr>
        <w:endnoteRef/>
      </w:r>
      <w:r>
        <w:t xml:space="preserve"> </w:t>
      </w:r>
      <w:r w:rsidR="001D1E66">
        <w:tab/>
      </w:r>
      <w:r w:rsidRPr="00470C06">
        <w:t xml:space="preserve">These churches included Presbyterians, Congregationalists, Baptists, Puritans, Unitarians, Quakers and Methodists – which Funnell and Williams (2014) note were “in competition” to the (Protestant) Church of </w:t>
      </w:r>
      <w:r w:rsidRPr="00BE5F70">
        <w:t xml:space="preserve">England and the Roman Catholic Church. </w:t>
      </w:r>
    </w:p>
  </w:endnote>
  <w:endnote w:id="22">
    <w:p w:rsidR="00D80954" w:rsidRPr="00566B50" w:rsidRDefault="00D80954" w:rsidP="00566B50">
      <w:pPr>
        <w:pStyle w:val="EndnoteText"/>
        <w:tabs>
          <w:tab w:val="left" w:pos="284"/>
        </w:tabs>
        <w:ind w:left="284" w:hanging="284"/>
        <w:rPr>
          <w:lang w:val="en-NZ"/>
        </w:rPr>
      </w:pPr>
      <w:r>
        <w:rPr>
          <w:rStyle w:val="EndnoteReference"/>
        </w:rPr>
        <w:endnoteRef/>
      </w:r>
      <w:r>
        <w:t xml:space="preserve"> </w:t>
      </w:r>
      <w:r w:rsidR="001D1E66">
        <w:tab/>
      </w:r>
      <w:r>
        <w:rPr>
          <w:lang w:val="en-NZ"/>
        </w:rPr>
        <w:t xml:space="preserve">An interesting set of accounts were those of Lady Glenorchy’s legacy which are summarised by Welch (1994). Her philanthropy supported Methodism and Calvinism, and could (along with other female philanthropists) be studied further. </w:t>
      </w:r>
    </w:p>
  </w:endnote>
  <w:endnote w:id="23">
    <w:p w:rsidR="00D80954" w:rsidRPr="00BE5F70" w:rsidRDefault="00D80954" w:rsidP="00BE5F70">
      <w:pPr>
        <w:ind w:left="284" w:hanging="284"/>
        <w:rPr>
          <w:rFonts w:hAnsi="Times New Roman" w:cs="Times New Roman"/>
          <w:sz w:val="20"/>
          <w:szCs w:val="20"/>
          <w:lang w:val="en-NZ"/>
        </w:rPr>
      </w:pPr>
      <w:r w:rsidRPr="00BE5F70">
        <w:rPr>
          <w:rStyle w:val="EndnoteReference"/>
          <w:sz w:val="20"/>
          <w:szCs w:val="20"/>
        </w:rPr>
        <w:endnoteRef/>
      </w:r>
      <w:r w:rsidRPr="00BE5F70">
        <w:rPr>
          <w:sz w:val="20"/>
          <w:szCs w:val="20"/>
        </w:rPr>
        <w:t xml:space="preserve"> </w:t>
      </w:r>
      <w:r>
        <w:rPr>
          <w:sz w:val="20"/>
          <w:szCs w:val="20"/>
        </w:rPr>
        <w:t xml:space="preserve"> </w:t>
      </w:r>
      <w:r w:rsidR="001D1E66">
        <w:rPr>
          <w:sz w:val="20"/>
          <w:szCs w:val="20"/>
        </w:rPr>
        <w:tab/>
      </w:r>
      <w:r w:rsidRPr="00BE5F70">
        <w:rPr>
          <w:sz w:val="20"/>
          <w:szCs w:val="20"/>
          <w:lang w:val="en-NZ"/>
        </w:rPr>
        <w:t xml:space="preserve">Perks </w:t>
      </w:r>
      <w:r>
        <w:rPr>
          <w:sz w:val="20"/>
          <w:szCs w:val="20"/>
          <w:lang w:val="en-NZ"/>
        </w:rPr>
        <w:t xml:space="preserve">(1982) analyses a businessman who had close links with </w:t>
      </w:r>
      <w:r w:rsidRPr="00BE5F70">
        <w:rPr>
          <w:rFonts w:hAnsi="Times New Roman" w:cs="Times New Roman"/>
          <w:sz w:val="20"/>
          <w:szCs w:val="20"/>
          <w:lang w:val="en-NZ"/>
        </w:rPr>
        <w:t xml:space="preserve">Cadbury, Rowntree and others </w:t>
      </w:r>
      <w:r>
        <w:rPr>
          <w:rFonts w:hAnsi="Times New Roman" w:cs="Times New Roman"/>
          <w:sz w:val="20"/>
          <w:szCs w:val="20"/>
          <w:lang w:val="en-NZ"/>
        </w:rPr>
        <w:t>– George Thomson. While this was published earlier than the review period, his analysis of t</w:t>
      </w:r>
      <w:r w:rsidRPr="00BE5F70">
        <w:rPr>
          <w:rFonts w:hAnsi="Times New Roman" w:cs="Times New Roman"/>
          <w:sz w:val="20"/>
          <w:szCs w:val="20"/>
          <w:lang w:val="en-NZ"/>
        </w:rPr>
        <w:t xml:space="preserve">he success of </w:t>
      </w:r>
      <w:r>
        <w:rPr>
          <w:rFonts w:hAnsi="Times New Roman" w:cs="Times New Roman"/>
          <w:sz w:val="20"/>
          <w:szCs w:val="20"/>
          <w:lang w:val="en-NZ"/>
        </w:rPr>
        <w:t>the</w:t>
      </w:r>
      <w:r w:rsidRPr="00BE5F70">
        <w:rPr>
          <w:rFonts w:hAnsi="Times New Roman" w:cs="Times New Roman"/>
          <w:sz w:val="20"/>
          <w:szCs w:val="20"/>
          <w:lang w:val="en-NZ"/>
        </w:rPr>
        <w:t xml:space="preserve"> profit-sharing scheme at William Thomson &amp; Sons </w:t>
      </w:r>
      <w:r>
        <w:rPr>
          <w:rFonts w:hAnsi="Times New Roman" w:cs="Times New Roman"/>
          <w:sz w:val="20"/>
          <w:szCs w:val="20"/>
          <w:lang w:val="en-NZ"/>
        </w:rPr>
        <w:t>(</w:t>
      </w:r>
      <w:r w:rsidRPr="00BE5F70">
        <w:rPr>
          <w:rFonts w:hAnsi="Times New Roman" w:cs="Times New Roman"/>
          <w:sz w:val="20"/>
          <w:szCs w:val="20"/>
          <w:lang w:val="en-NZ"/>
        </w:rPr>
        <w:t>in Huddersfield (England)</w:t>
      </w:r>
      <w:r>
        <w:rPr>
          <w:rFonts w:hAnsi="Times New Roman" w:cs="Times New Roman"/>
          <w:sz w:val="20"/>
          <w:szCs w:val="20"/>
          <w:lang w:val="en-NZ"/>
        </w:rPr>
        <w:t>)</w:t>
      </w:r>
      <w:r w:rsidRPr="00BE5F70">
        <w:rPr>
          <w:rFonts w:hAnsi="Times New Roman" w:cs="Times New Roman"/>
          <w:sz w:val="20"/>
          <w:szCs w:val="20"/>
          <w:lang w:val="en-NZ"/>
        </w:rPr>
        <w:t xml:space="preserve"> from 1886-1928 </w:t>
      </w:r>
      <w:r>
        <w:rPr>
          <w:rFonts w:hAnsi="Times New Roman" w:cs="Times New Roman"/>
          <w:sz w:val="20"/>
          <w:szCs w:val="20"/>
          <w:lang w:val="en-NZ"/>
        </w:rPr>
        <w:t>shows its dissimilarity to the few other schemes</w:t>
      </w:r>
      <w:r w:rsidR="001D1E66">
        <w:rPr>
          <w:rFonts w:hAnsi="Times New Roman" w:cs="Times New Roman"/>
          <w:sz w:val="20"/>
          <w:szCs w:val="20"/>
          <w:lang w:val="en-NZ"/>
        </w:rPr>
        <w:t xml:space="preserve"> operating,</w:t>
      </w:r>
      <w:r>
        <w:rPr>
          <w:rFonts w:hAnsi="Times New Roman" w:cs="Times New Roman"/>
          <w:sz w:val="20"/>
          <w:szCs w:val="20"/>
          <w:lang w:val="en-NZ"/>
        </w:rPr>
        <w:t xml:space="preserve"> that sought t</w:t>
      </w:r>
      <w:r w:rsidRPr="00BE5F70">
        <w:rPr>
          <w:rFonts w:hAnsi="Times New Roman" w:cs="Times New Roman"/>
          <w:sz w:val="20"/>
          <w:szCs w:val="20"/>
          <w:lang w:val="en-NZ"/>
        </w:rPr>
        <w:t>o reduce the impact of the union movement and worker unrest</w:t>
      </w:r>
      <w:r>
        <w:rPr>
          <w:rFonts w:hAnsi="Times New Roman" w:cs="Times New Roman"/>
          <w:sz w:val="20"/>
          <w:szCs w:val="20"/>
          <w:lang w:val="en-NZ"/>
        </w:rPr>
        <w:t xml:space="preserve">. </w:t>
      </w:r>
      <w:r w:rsidRPr="00BE5F70">
        <w:rPr>
          <w:rFonts w:hAnsi="Times New Roman" w:cs="Times New Roman"/>
          <w:sz w:val="20"/>
          <w:szCs w:val="20"/>
          <w:lang w:val="en-NZ"/>
        </w:rPr>
        <w:t>George Thomson (William’s son) ‘conver</w:t>
      </w:r>
      <w:r>
        <w:rPr>
          <w:rFonts w:hAnsi="Times New Roman" w:cs="Times New Roman"/>
          <w:sz w:val="20"/>
          <w:szCs w:val="20"/>
          <w:lang w:val="en-NZ"/>
        </w:rPr>
        <w:t>ted</w:t>
      </w:r>
      <w:r w:rsidRPr="00BE5F70">
        <w:rPr>
          <w:rFonts w:hAnsi="Times New Roman" w:cs="Times New Roman"/>
          <w:sz w:val="20"/>
          <w:szCs w:val="20"/>
          <w:lang w:val="en-NZ"/>
        </w:rPr>
        <w:t>’ to Ruskin’s Christian Socialism</w:t>
      </w:r>
      <w:r>
        <w:rPr>
          <w:rFonts w:hAnsi="Times New Roman" w:cs="Times New Roman"/>
          <w:sz w:val="20"/>
          <w:szCs w:val="20"/>
          <w:lang w:val="en-NZ"/>
        </w:rPr>
        <w:t xml:space="preserve"> and sought </w:t>
      </w:r>
      <w:r w:rsidRPr="00BE5F70">
        <w:rPr>
          <w:rFonts w:hAnsi="Times New Roman" w:cs="Times New Roman"/>
          <w:sz w:val="20"/>
          <w:szCs w:val="20"/>
          <w:lang w:val="en-NZ"/>
        </w:rPr>
        <w:t>to reduce competition and build co-partnership</w:t>
      </w:r>
      <w:r>
        <w:rPr>
          <w:rFonts w:hAnsi="Times New Roman" w:cs="Times New Roman"/>
          <w:sz w:val="20"/>
          <w:szCs w:val="20"/>
          <w:lang w:val="en-NZ"/>
        </w:rPr>
        <w:t>. He</w:t>
      </w:r>
      <w:r w:rsidRPr="00BE5F70">
        <w:rPr>
          <w:rFonts w:hAnsi="Times New Roman" w:cs="Times New Roman"/>
          <w:sz w:val="20"/>
          <w:szCs w:val="20"/>
          <w:lang w:val="en-NZ"/>
        </w:rPr>
        <w:t xml:space="preserve"> “saw profit sharing as the means whereby the conditions of life might be elevated and the gulf between capital and labour bridged” (Perks, 1982: 165). </w:t>
      </w:r>
    </w:p>
  </w:endnote>
  <w:endnote w:id="24">
    <w:p w:rsidR="00D80954" w:rsidRPr="00470C06" w:rsidRDefault="00D80954">
      <w:pPr>
        <w:pStyle w:val="EndnoteText"/>
        <w:ind w:left="284" w:hanging="284"/>
      </w:pPr>
      <w:r w:rsidRPr="00BE5F70">
        <w:rPr>
          <w:vertAlign w:val="superscript"/>
        </w:rPr>
        <w:endnoteRef/>
      </w:r>
      <w:r w:rsidRPr="00BE5F70">
        <w:t xml:space="preserve"> </w:t>
      </w:r>
      <w:r w:rsidR="001D1E66">
        <w:tab/>
      </w:r>
      <w:r w:rsidRPr="00BE5F70">
        <w:t>The comprehensive review of I</w:t>
      </w:r>
      <w:r w:rsidRPr="00470C06">
        <w:t xml:space="preserve">talian-speaking accounting history literature by Antonelli and D’Alessio (2014) unfortunately does not provide details of the site of case studies, only issues and approaches. </w:t>
      </w:r>
    </w:p>
  </w:endnote>
  <w:endnote w:id="25">
    <w:p w:rsidR="00D80954" w:rsidRDefault="00D80954">
      <w:pPr>
        <w:pStyle w:val="EndnoteText"/>
        <w:tabs>
          <w:tab w:val="left" w:pos="284"/>
        </w:tabs>
        <w:ind w:left="284" w:hanging="284"/>
      </w:pPr>
      <w:r w:rsidRPr="00470C06">
        <w:rPr>
          <w:vertAlign w:val="superscript"/>
        </w:rPr>
        <w:endnoteRef/>
      </w:r>
      <w:r w:rsidRPr="00470C06">
        <w:t xml:space="preserve"> </w:t>
      </w:r>
      <w:r w:rsidR="001D1E66">
        <w:tab/>
      </w:r>
      <w:r w:rsidRPr="00470C06">
        <w:t>Exceptions include studies in management by Dyck – for example, on Luke’s Gospel and early Christendom (Dyck et al., 2012; Dyck, 2013) and his analysis of major religions and their effect on management theory (Dyck, 2014).</w:t>
      </w:r>
    </w:p>
  </w:endnote>
  <w:endnote w:id="26">
    <w:p w:rsidR="00D80954" w:rsidRPr="000502B9" w:rsidRDefault="00D80954" w:rsidP="000502B9">
      <w:pPr>
        <w:pStyle w:val="EndnoteText"/>
        <w:tabs>
          <w:tab w:val="left" w:pos="284"/>
        </w:tabs>
        <w:ind w:left="284" w:hanging="284"/>
        <w:rPr>
          <w:lang w:val="en-NZ"/>
        </w:rPr>
      </w:pPr>
      <w:r>
        <w:rPr>
          <w:rStyle w:val="EndnoteReference"/>
        </w:rPr>
        <w:endnoteRef/>
      </w:r>
      <w:r>
        <w:t xml:space="preserve"> </w:t>
      </w:r>
      <w:r>
        <w:rPr>
          <w:lang w:val="en-NZ"/>
        </w:rPr>
        <w:tab/>
        <w:t xml:space="preserve">Napier (2006: 459) notes that </w:t>
      </w:r>
      <w:r>
        <w:t>histories ‘‘from below’’ are “an attempt to give voice to individuals and groups that more traditional history has tended to ignore” and will draw on wider sources than organisational archives, or the lives of the elites in society “to demonstrate and thereby challenge taken-for-granted understanding”. No specific definition for</w:t>
      </w:r>
      <w:r w:rsidR="001D1E66">
        <w:t xml:space="preserve"> this in the </w:t>
      </w:r>
      <w:r>
        <w:t xml:space="preserve">accounting history and religion </w:t>
      </w:r>
      <w:r w:rsidR="001D1E66">
        <w:t xml:space="preserve">genre </w:t>
      </w:r>
      <w:r>
        <w:t xml:space="preserve">has been found.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54" w:rsidRDefault="00D80954">
    <w:pPr>
      <w:pStyle w:val="Footer"/>
      <w:tabs>
        <w:tab w:val="clear" w:pos="9026"/>
        <w:tab w:val="right" w:pos="9000"/>
      </w:tabs>
      <w:jc w:val="center"/>
    </w:pPr>
    <w:r>
      <w:fldChar w:fldCharType="begin"/>
    </w:r>
    <w:r>
      <w:instrText xml:space="preserve"> PAGE </w:instrText>
    </w:r>
    <w:r>
      <w:fldChar w:fldCharType="separate"/>
    </w:r>
    <w:r w:rsidR="004F27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6D" w:rsidRDefault="000F5A6D">
      <w:r>
        <w:separator/>
      </w:r>
    </w:p>
  </w:footnote>
  <w:footnote w:type="continuationSeparator" w:id="0">
    <w:p w:rsidR="000F5A6D" w:rsidRDefault="000F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D"/>
    <w:rsid w:val="00006218"/>
    <w:rsid w:val="000502B9"/>
    <w:rsid w:val="00056C9B"/>
    <w:rsid w:val="00083D25"/>
    <w:rsid w:val="00085651"/>
    <w:rsid w:val="00097F6E"/>
    <w:rsid w:val="000A15E4"/>
    <w:rsid w:val="000D1A57"/>
    <w:rsid w:val="000F4F61"/>
    <w:rsid w:val="000F5A6D"/>
    <w:rsid w:val="00135517"/>
    <w:rsid w:val="00147B67"/>
    <w:rsid w:val="00154744"/>
    <w:rsid w:val="0016035E"/>
    <w:rsid w:val="00166E9F"/>
    <w:rsid w:val="0019397E"/>
    <w:rsid w:val="001A2CDB"/>
    <w:rsid w:val="001C1F4D"/>
    <w:rsid w:val="001D1E66"/>
    <w:rsid w:val="00211CA1"/>
    <w:rsid w:val="00250E50"/>
    <w:rsid w:val="002522DB"/>
    <w:rsid w:val="00282C6C"/>
    <w:rsid w:val="0028771F"/>
    <w:rsid w:val="002925AE"/>
    <w:rsid w:val="002A5E04"/>
    <w:rsid w:val="002A6718"/>
    <w:rsid w:val="002C19BE"/>
    <w:rsid w:val="002C6554"/>
    <w:rsid w:val="002D3F3A"/>
    <w:rsid w:val="002E6C73"/>
    <w:rsid w:val="002F1737"/>
    <w:rsid w:val="002F3DFE"/>
    <w:rsid w:val="002F7570"/>
    <w:rsid w:val="00315E7B"/>
    <w:rsid w:val="003402ED"/>
    <w:rsid w:val="003429C7"/>
    <w:rsid w:val="0034652E"/>
    <w:rsid w:val="00351FC1"/>
    <w:rsid w:val="00366B6D"/>
    <w:rsid w:val="003A52F0"/>
    <w:rsid w:val="003A7272"/>
    <w:rsid w:val="003B2876"/>
    <w:rsid w:val="003B4D39"/>
    <w:rsid w:val="003C5209"/>
    <w:rsid w:val="003F7AAA"/>
    <w:rsid w:val="004164D6"/>
    <w:rsid w:val="004360B7"/>
    <w:rsid w:val="00456AEE"/>
    <w:rsid w:val="00466947"/>
    <w:rsid w:val="00470C06"/>
    <w:rsid w:val="00472E1C"/>
    <w:rsid w:val="00477E07"/>
    <w:rsid w:val="004B2669"/>
    <w:rsid w:val="004B5E75"/>
    <w:rsid w:val="004D48DB"/>
    <w:rsid w:val="004E1231"/>
    <w:rsid w:val="004F27A4"/>
    <w:rsid w:val="00557EA0"/>
    <w:rsid w:val="00566B50"/>
    <w:rsid w:val="005A423D"/>
    <w:rsid w:val="005B3984"/>
    <w:rsid w:val="005C5956"/>
    <w:rsid w:val="005E3170"/>
    <w:rsid w:val="00602DB4"/>
    <w:rsid w:val="00606689"/>
    <w:rsid w:val="006110E0"/>
    <w:rsid w:val="006154C0"/>
    <w:rsid w:val="00633C2C"/>
    <w:rsid w:val="0065477E"/>
    <w:rsid w:val="00662CFC"/>
    <w:rsid w:val="006861F3"/>
    <w:rsid w:val="006D2ADC"/>
    <w:rsid w:val="006E1834"/>
    <w:rsid w:val="006F3820"/>
    <w:rsid w:val="0070092E"/>
    <w:rsid w:val="00712449"/>
    <w:rsid w:val="00730BCA"/>
    <w:rsid w:val="00733F53"/>
    <w:rsid w:val="00743C59"/>
    <w:rsid w:val="007454B0"/>
    <w:rsid w:val="00777F17"/>
    <w:rsid w:val="007C2330"/>
    <w:rsid w:val="007D3040"/>
    <w:rsid w:val="007D4D28"/>
    <w:rsid w:val="00854741"/>
    <w:rsid w:val="00886CE0"/>
    <w:rsid w:val="008E2A59"/>
    <w:rsid w:val="008E69C2"/>
    <w:rsid w:val="0090528D"/>
    <w:rsid w:val="00953DEC"/>
    <w:rsid w:val="00970C68"/>
    <w:rsid w:val="0099646E"/>
    <w:rsid w:val="009D73F4"/>
    <w:rsid w:val="009F6D48"/>
    <w:rsid w:val="00A14659"/>
    <w:rsid w:val="00A2424F"/>
    <w:rsid w:val="00A330AA"/>
    <w:rsid w:val="00A43A9A"/>
    <w:rsid w:val="00A55728"/>
    <w:rsid w:val="00A614B9"/>
    <w:rsid w:val="00A72765"/>
    <w:rsid w:val="00A8798F"/>
    <w:rsid w:val="00AB642C"/>
    <w:rsid w:val="00AC1797"/>
    <w:rsid w:val="00AD0F63"/>
    <w:rsid w:val="00AD19F7"/>
    <w:rsid w:val="00AD47CC"/>
    <w:rsid w:val="00B202D5"/>
    <w:rsid w:val="00B234AB"/>
    <w:rsid w:val="00B23874"/>
    <w:rsid w:val="00B5314A"/>
    <w:rsid w:val="00B7040E"/>
    <w:rsid w:val="00B729A6"/>
    <w:rsid w:val="00B96A9D"/>
    <w:rsid w:val="00BE5F70"/>
    <w:rsid w:val="00BE643A"/>
    <w:rsid w:val="00BF00AE"/>
    <w:rsid w:val="00BF7A66"/>
    <w:rsid w:val="00C0723B"/>
    <w:rsid w:val="00C07FC1"/>
    <w:rsid w:val="00C1393A"/>
    <w:rsid w:val="00C2407F"/>
    <w:rsid w:val="00C33F26"/>
    <w:rsid w:val="00C42AC5"/>
    <w:rsid w:val="00C6603A"/>
    <w:rsid w:val="00C661C6"/>
    <w:rsid w:val="00C74E55"/>
    <w:rsid w:val="00C876C2"/>
    <w:rsid w:val="00C92D9F"/>
    <w:rsid w:val="00CD6F53"/>
    <w:rsid w:val="00CE324E"/>
    <w:rsid w:val="00D24C80"/>
    <w:rsid w:val="00D259B5"/>
    <w:rsid w:val="00D35B49"/>
    <w:rsid w:val="00D80954"/>
    <w:rsid w:val="00D83C99"/>
    <w:rsid w:val="00DA4B7F"/>
    <w:rsid w:val="00E15EC3"/>
    <w:rsid w:val="00E53ED3"/>
    <w:rsid w:val="00E61656"/>
    <w:rsid w:val="00E77A19"/>
    <w:rsid w:val="00EB6AF7"/>
    <w:rsid w:val="00F03563"/>
    <w:rsid w:val="00F15B24"/>
    <w:rsid w:val="00F17658"/>
    <w:rsid w:val="00F36201"/>
    <w:rsid w:val="00F37792"/>
    <w:rsid w:val="00F51EDF"/>
    <w:rsid w:val="00F5568A"/>
    <w:rsid w:val="00F82080"/>
    <w:rsid w:val="00F912BA"/>
    <w:rsid w:val="00F922A5"/>
    <w:rsid w:val="00FB245B"/>
    <w:rsid w:val="00FC3A29"/>
    <w:rsid w:val="00FC40E8"/>
    <w:rsid w:val="00FD014D"/>
    <w:rsid w:val="00FF6E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1D61A-87A7-4240-80AB-739AC5CF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styleId="EndnoteText">
    <w:name w:val="endnote text"/>
    <w:rPr>
      <w:rFonts w:eastAsia="Times New Roman"/>
      <w:color w:val="000000"/>
      <w:u w:color="000000"/>
      <w:lang w:val="en-US"/>
    </w:rPr>
  </w:style>
  <w:style w:type="paragraph" w:styleId="Caption">
    <w:name w:val="caption"/>
    <w:next w:val="Normal"/>
    <w:pPr>
      <w:spacing w:before="120" w:after="120"/>
      <w:jc w:val="center"/>
    </w:pPr>
    <w:rPr>
      <w:rFonts w:eastAsia="Times New Roman"/>
      <w:b/>
      <w:bC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paragraph" w:styleId="FootnoteText">
    <w:name w:val="footnote text"/>
    <w:basedOn w:val="Normal"/>
    <w:link w:val="FootnoteTextChar"/>
    <w:uiPriority w:val="99"/>
    <w:semiHidden/>
    <w:unhideWhenUsed/>
    <w:rsid w:val="008E69C2"/>
    <w:rPr>
      <w:sz w:val="20"/>
      <w:szCs w:val="20"/>
    </w:rPr>
  </w:style>
  <w:style w:type="character" w:customStyle="1" w:styleId="FootnoteTextChar">
    <w:name w:val="Footnote Text Char"/>
    <w:basedOn w:val="DefaultParagraphFont"/>
    <w:link w:val="FootnoteText"/>
    <w:uiPriority w:val="99"/>
    <w:semiHidden/>
    <w:rsid w:val="008E69C2"/>
    <w:rPr>
      <w:rFonts w:hAnsi="Arial Unicode MS" w:cs="Arial Unicode MS"/>
      <w:color w:val="000000"/>
      <w:u w:color="000000"/>
      <w:lang w:val="en-US" w:eastAsia="en-US"/>
    </w:rPr>
  </w:style>
  <w:style w:type="character" w:styleId="FootnoteReference">
    <w:name w:val="footnote reference"/>
    <w:basedOn w:val="DefaultParagraphFont"/>
    <w:unhideWhenUsed/>
    <w:rsid w:val="008E69C2"/>
    <w:rPr>
      <w:vertAlign w:val="superscript"/>
    </w:rPr>
  </w:style>
  <w:style w:type="character" w:styleId="EndnoteReference">
    <w:name w:val="endnote reference"/>
    <w:basedOn w:val="DefaultParagraphFont"/>
    <w:uiPriority w:val="99"/>
    <w:semiHidden/>
    <w:unhideWhenUsed/>
    <w:rsid w:val="008E69C2"/>
    <w:rPr>
      <w:vertAlign w:val="superscript"/>
    </w:rPr>
  </w:style>
  <w:style w:type="paragraph" w:styleId="BalloonText">
    <w:name w:val="Balloon Text"/>
    <w:basedOn w:val="Normal"/>
    <w:link w:val="BalloonTextChar"/>
    <w:uiPriority w:val="99"/>
    <w:semiHidden/>
    <w:unhideWhenUsed/>
    <w:rsid w:val="00B96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9D"/>
    <w:rPr>
      <w:rFonts w:ascii="Segoe UI" w:hAnsi="Segoe UI" w:cs="Segoe UI"/>
      <w:color w:val="000000"/>
      <w:sz w:val="18"/>
      <w:szCs w:val="18"/>
      <w:u w:color="000000"/>
      <w:lang w:val="en-US" w:eastAsia="en-US"/>
    </w:rPr>
  </w:style>
  <w:style w:type="table" w:styleId="TableGrid">
    <w:name w:val="Table Grid"/>
    <w:basedOn w:val="TableNormal"/>
    <w:uiPriority w:val="39"/>
    <w:rsid w:val="00D3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A42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color w:val="auto"/>
      <w:sz w:val="22"/>
      <w:szCs w:val="21"/>
      <w:bdr w:val="none" w:sz="0" w:space="0" w:color="auto"/>
      <w:lang w:val="en-NZ"/>
    </w:rPr>
  </w:style>
  <w:style w:type="character" w:customStyle="1" w:styleId="PlainTextChar">
    <w:name w:val="Plain Text Char"/>
    <w:basedOn w:val="DefaultParagraphFont"/>
    <w:link w:val="PlainText"/>
    <w:uiPriority w:val="99"/>
    <w:semiHidden/>
    <w:rsid w:val="005A423D"/>
    <w:rPr>
      <w:rFonts w:ascii="Calibri" w:eastAsiaTheme="minorHAnsi" w:hAnsi="Calibri" w:cs="Consolas"/>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1845">
      <w:bodyDiv w:val="1"/>
      <w:marLeft w:val="0"/>
      <w:marRight w:val="0"/>
      <w:marTop w:val="0"/>
      <w:marBottom w:val="0"/>
      <w:divBdr>
        <w:top w:val="none" w:sz="0" w:space="0" w:color="auto"/>
        <w:left w:val="none" w:sz="0" w:space="0" w:color="auto"/>
        <w:bottom w:val="none" w:sz="0" w:space="0" w:color="auto"/>
        <w:right w:val="none" w:sz="0" w:space="0" w:color="auto"/>
      </w:divBdr>
    </w:div>
    <w:div w:id="152482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catholicherald.co.uk/issues/december-5th-2014/the-days-of-ripping-off-the-vatican-are-ov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aff\Home\FCA\corderca\DocumentsRedir\Accounting%20History\Religion\analysis%20revi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aff\Home\FCA\corderca\DocumentsRedir\Accounting%20History\Religion\analysis%20review.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Sheet6!$B$15</c:f>
              <c:strCache>
                <c:ptCount val="1"/>
                <c:pt idx="0">
                  <c:v>case study</c:v>
                </c:pt>
              </c:strCache>
            </c:strRef>
          </c:tx>
          <c:spPr>
            <a:pattFill prst="wave">
              <a:fgClr>
                <a:schemeClr val="accent1"/>
              </a:fgClr>
              <a:bgClr>
                <a:schemeClr val="bg1"/>
              </a:bgClr>
            </a:pattFill>
            <a:ln>
              <a:solidFill>
                <a:schemeClr val="accent1"/>
              </a:solidFill>
            </a:ln>
            <a:effectLst/>
          </c:spPr>
          <c:invertIfNegative val="0"/>
          <c:cat>
            <c:numRef>
              <c:f>Sheet6!$C$14:$AB$14</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Sheet6!$C$15:$AB$15</c:f>
              <c:numCache>
                <c:formatCode>General</c:formatCode>
                <c:ptCount val="26"/>
                <c:pt idx="0">
                  <c:v>2</c:v>
                </c:pt>
                <c:pt idx="1">
                  <c:v>3</c:v>
                </c:pt>
                <c:pt idx="2">
                  <c:v>2</c:v>
                </c:pt>
                <c:pt idx="3">
                  <c:v>1</c:v>
                </c:pt>
                <c:pt idx="5">
                  <c:v>1</c:v>
                </c:pt>
                <c:pt idx="6">
                  <c:v>1</c:v>
                </c:pt>
                <c:pt idx="7">
                  <c:v>1</c:v>
                </c:pt>
                <c:pt idx="8">
                  <c:v>2</c:v>
                </c:pt>
                <c:pt idx="10">
                  <c:v>1</c:v>
                </c:pt>
                <c:pt idx="11">
                  <c:v>1</c:v>
                </c:pt>
                <c:pt idx="12">
                  <c:v>4</c:v>
                </c:pt>
                <c:pt idx="13">
                  <c:v>4</c:v>
                </c:pt>
                <c:pt idx="14">
                  <c:v>4</c:v>
                </c:pt>
                <c:pt idx="15">
                  <c:v>1</c:v>
                </c:pt>
                <c:pt idx="16">
                  <c:v>6</c:v>
                </c:pt>
                <c:pt idx="18">
                  <c:v>3</c:v>
                </c:pt>
                <c:pt idx="19">
                  <c:v>3</c:v>
                </c:pt>
                <c:pt idx="20">
                  <c:v>6</c:v>
                </c:pt>
                <c:pt idx="21">
                  <c:v>3</c:v>
                </c:pt>
                <c:pt idx="22">
                  <c:v>2</c:v>
                </c:pt>
                <c:pt idx="23">
                  <c:v>7</c:v>
                </c:pt>
                <c:pt idx="24">
                  <c:v>5</c:v>
                </c:pt>
                <c:pt idx="25">
                  <c:v>2</c:v>
                </c:pt>
              </c:numCache>
            </c:numRef>
          </c:val>
        </c:ser>
        <c:ser>
          <c:idx val="1"/>
          <c:order val="1"/>
          <c:tx>
            <c:strRef>
              <c:f>Sheet6!$B$16</c:f>
              <c:strCache>
                <c:ptCount val="1"/>
                <c:pt idx="0">
                  <c:v>review</c:v>
                </c:pt>
              </c:strCache>
            </c:strRef>
          </c:tx>
          <c:spPr>
            <a:solidFill>
              <a:schemeClr val="accent2"/>
            </a:solidFill>
            <a:ln>
              <a:noFill/>
            </a:ln>
            <a:effectLst/>
          </c:spPr>
          <c:invertIfNegative val="0"/>
          <c:cat>
            <c:numRef>
              <c:f>Sheet6!$C$14:$AB$14</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Sheet6!$C$16:$AB$16</c:f>
              <c:numCache>
                <c:formatCode>General</c:formatCode>
                <c:ptCount val="26"/>
                <c:pt idx="0">
                  <c:v>1</c:v>
                </c:pt>
                <c:pt idx="15">
                  <c:v>1</c:v>
                </c:pt>
                <c:pt idx="16">
                  <c:v>1</c:v>
                </c:pt>
                <c:pt idx="18">
                  <c:v>2</c:v>
                </c:pt>
                <c:pt idx="19">
                  <c:v>2</c:v>
                </c:pt>
                <c:pt idx="20">
                  <c:v>1</c:v>
                </c:pt>
              </c:numCache>
            </c:numRef>
          </c:val>
        </c:ser>
        <c:ser>
          <c:idx val="2"/>
          <c:order val="2"/>
          <c:tx>
            <c:strRef>
              <c:f>Sheet6!$B$17</c:f>
              <c:strCache>
                <c:ptCount val="1"/>
                <c:pt idx="0">
                  <c:v>theoretical</c:v>
                </c:pt>
              </c:strCache>
            </c:strRef>
          </c:tx>
          <c:spPr>
            <a:solidFill>
              <a:schemeClr val="accent3"/>
            </a:solidFill>
            <a:ln>
              <a:noFill/>
            </a:ln>
            <a:effectLst/>
          </c:spPr>
          <c:invertIfNegative val="0"/>
          <c:cat>
            <c:numRef>
              <c:f>Sheet6!$C$14:$AB$14</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Sheet6!$C$17:$AB$17</c:f>
              <c:numCache>
                <c:formatCode>General</c:formatCode>
                <c:ptCount val="26"/>
                <c:pt idx="3">
                  <c:v>1</c:v>
                </c:pt>
                <c:pt idx="4">
                  <c:v>1</c:v>
                </c:pt>
                <c:pt idx="7">
                  <c:v>2</c:v>
                </c:pt>
                <c:pt idx="8">
                  <c:v>1</c:v>
                </c:pt>
                <c:pt idx="9">
                  <c:v>1</c:v>
                </c:pt>
                <c:pt idx="14">
                  <c:v>2</c:v>
                </c:pt>
                <c:pt idx="15">
                  <c:v>2</c:v>
                </c:pt>
                <c:pt idx="16">
                  <c:v>2</c:v>
                </c:pt>
                <c:pt idx="17">
                  <c:v>1</c:v>
                </c:pt>
                <c:pt idx="18">
                  <c:v>1</c:v>
                </c:pt>
                <c:pt idx="21">
                  <c:v>1</c:v>
                </c:pt>
                <c:pt idx="23">
                  <c:v>1</c:v>
                </c:pt>
                <c:pt idx="24">
                  <c:v>1</c:v>
                </c:pt>
              </c:numCache>
            </c:numRef>
          </c:val>
        </c:ser>
        <c:dLbls>
          <c:showLegendKey val="0"/>
          <c:showVal val="0"/>
          <c:showCatName val="0"/>
          <c:showSerName val="0"/>
          <c:showPercent val="0"/>
          <c:showBubbleSize val="0"/>
        </c:dLbls>
        <c:gapWidth val="219"/>
        <c:overlap val="-27"/>
        <c:axId val="912465168"/>
        <c:axId val="912464608"/>
      </c:barChart>
      <c:dateAx>
        <c:axId val="91246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464608"/>
        <c:crosses val="autoZero"/>
        <c:auto val="0"/>
        <c:lblOffset val="100"/>
        <c:baseTimeUnit val="days"/>
      </c:dateAx>
      <c:valAx>
        <c:axId val="91246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46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Sheet5!$B$14</c:f>
              <c:strCache>
                <c:ptCount val="1"/>
                <c:pt idx="0">
                  <c:v>Sacred-Secular</c:v>
                </c:pt>
              </c:strCache>
            </c:strRef>
          </c:tx>
          <c:spPr>
            <a:pattFill prst="ltHorz">
              <a:fgClr>
                <a:schemeClr val="accent1"/>
              </a:fgClr>
              <a:bgClr>
                <a:schemeClr val="bg1"/>
              </a:bgClr>
            </a:pattFill>
            <a:ln>
              <a:solidFill>
                <a:schemeClr val="accent1"/>
              </a:solidFill>
            </a:ln>
            <a:effectLst/>
          </c:spPr>
          <c:invertIfNegative val="0"/>
          <c:cat>
            <c:numRef>
              <c:f>Sheet5!$C$13:$AB$13</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Sheet5!$C$14:$AB$14</c:f>
              <c:numCache>
                <c:formatCode>General</c:formatCode>
                <c:ptCount val="26"/>
                <c:pt idx="1">
                  <c:v>1</c:v>
                </c:pt>
                <c:pt idx="2">
                  <c:v>1</c:v>
                </c:pt>
                <c:pt idx="4">
                  <c:v>1</c:v>
                </c:pt>
                <c:pt idx="10">
                  <c:v>1</c:v>
                </c:pt>
                <c:pt idx="11">
                  <c:v>2</c:v>
                </c:pt>
                <c:pt idx="12">
                  <c:v>2</c:v>
                </c:pt>
                <c:pt idx="13">
                  <c:v>2</c:v>
                </c:pt>
                <c:pt idx="14">
                  <c:v>3</c:v>
                </c:pt>
                <c:pt idx="15">
                  <c:v>2</c:v>
                </c:pt>
                <c:pt idx="16">
                  <c:v>2</c:v>
                </c:pt>
                <c:pt idx="20">
                  <c:v>1</c:v>
                </c:pt>
                <c:pt idx="21">
                  <c:v>1</c:v>
                </c:pt>
                <c:pt idx="23">
                  <c:v>2</c:v>
                </c:pt>
                <c:pt idx="24">
                  <c:v>1</c:v>
                </c:pt>
              </c:numCache>
            </c:numRef>
          </c:val>
        </c:ser>
        <c:ser>
          <c:idx val="1"/>
          <c:order val="1"/>
          <c:tx>
            <c:strRef>
              <c:f>Sheet5!$B$15</c:f>
              <c:strCache>
                <c:ptCount val="1"/>
                <c:pt idx="0">
                  <c:v>Accountability</c:v>
                </c:pt>
              </c:strCache>
            </c:strRef>
          </c:tx>
          <c:spPr>
            <a:solidFill>
              <a:schemeClr val="accent2"/>
            </a:solidFill>
            <a:ln>
              <a:noFill/>
            </a:ln>
            <a:effectLst/>
          </c:spPr>
          <c:invertIfNegative val="0"/>
          <c:cat>
            <c:numRef>
              <c:f>Sheet5!$C$13:$AB$13</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Sheet5!$C$15:$AB$15</c:f>
              <c:numCache>
                <c:formatCode>General</c:formatCode>
                <c:ptCount val="26"/>
                <c:pt idx="2">
                  <c:v>1</c:v>
                </c:pt>
                <c:pt idx="5">
                  <c:v>1</c:v>
                </c:pt>
                <c:pt idx="13">
                  <c:v>1</c:v>
                </c:pt>
                <c:pt idx="14">
                  <c:v>1</c:v>
                </c:pt>
                <c:pt idx="16">
                  <c:v>4</c:v>
                </c:pt>
                <c:pt idx="18">
                  <c:v>1</c:v>
                </c:pt>
                <c:pt idx="20">
                  <c:v>1</c:v>
                </c:pt>
                <c:pt idx="23">
                  <c:v>1</c:v>
                </c:pt>
                <c:pt idx="24">
                  <c:v>2</c:v>
                </c:pt>
                <c:pt idx="25">
                  <c:v>1</c:v>
                </c:pt>
              </c:numCache>
            </c:numRef>
          </c:val>
        </c:ser>
        <c:ser>
          <c:idx val="2"/>
          <c:order val="2"/>
          <c:tx>
            <c:strRef>
              <c:f>Sheet5!$B$16</c:f>
              <c:strCache>
                <c:ptCount val="1"/>
                <c:pt idx="0">
                  <c:v>Antecedents</c:v>
                </c:pt>
              </c:strCache>
            </c:strRef>
          </c:tx>
          <c:spPr>
            <a:solidFill>
              <a:schemeClr val="accent3"/>
            </a:solidFill>
            <a:ln>
              <a:noFill/>
            </a:ln>
            <a:effectLst/>
          </c:spPr>
          <c:invertIfNegative val="0"/>
          <c:cat>
            <c:numRef>
              <c:f>Sheet5!$C$13:$AB$13</c:f>
              <c:numCache>
                <c:formatCode>General</c:formatCode>
                <c:ptCount val="26"/>
                <c:pt idx="0">
                  <c:v>1986</c:v>
                </c:pt>
                <c:pt idx="1">
                  <c:v>1988</c:v>
                </c:pt>
                <c:pt idx="2">
                  <c:v>1990</c:v>
                </c:pt>
                <c:pt idx="3">
                  <c:v>1991</c:v>
                </c:pt>
                <c:pt idx="4">
                  <c:v>1993</c:v>
                </c:pt>
                <c:pt idx="5">
                  <c:v>1994</c:v>
                </c:pt>
                <c:pt idx="6">
                  <c:v>1995</c:v>
                </c:pt>
                <c:pt idx="7">
                  <c:v>1996</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Sheet5!$C$16:$AB$16</c:f>
              <c:numCache>
                <c:formatCode>General</c:formatCode>
                <c:ptCount val="26"/>
                <c:pt idx="3">
                  <c:v>1</c:v>
                </c:pt>
                <c:pt idx="13">
                  <c:v>1</c:v>
                </c:pt>
                <c:pt idx="14">
                  <c:v>1</c:v>
                </c:pt>
                <c:pt idx="15">
                  <c:v>1</c:v>
                </c:pt>
                <c:pt idx="17">
                  <c:v>1</c:v>
                </c:pt>
                <c:pt idx="19">
                  <c:v>2</c:v>
                </c:pt>
                <c:pt idx="20">
                  <c:v>1</c:v>
                </c:pt>
                <c:pt idx="23">
                  <c:v>2</c:v>
                </c:pt>
                <c:pt idx="24">
                  <c:v>1</c:v>
                </c:pt>
                <c:pt idx="25">
                  <c:v>1</c:v>
                </c:pt>
              </c:numCache>
            </c:numRef>
          </c:val>
        </c:ser>
        <c:dLbls>
          <c:showLegendKey val="0"/>
          <c:showVal val="0"/>
          <c:showCatName val="0"/>
          <c:showSerName val="0"/>
          <c:showPercent val="0"/>
          <c:showBubbleSize val="0"/>
        </c:dLbls>
        <c:gapWidth val="219"/>
        <c:overlap val="-27"/>
        <c:axId val="413024144"/>
        <c:axId val="416853072"/>
      </c:barChart>
      <c:dateAx>
        <c:axId val="41302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853072"/>
        <c:crosses val="autoZero"/>
        <c:auto val="0"/>
        <c:lblOffset val="100"/>
        <c:baseTimeUnit val="days"/>
      </c:dateAx>
      <c:valAx>
        <c:axId val="41685307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0241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6E69-D025-4442-9ED1-3B936170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18470</Words>
  <Characters>105281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Cordery</dc:creator>
  <cp:lastModifiedBy>Cordery, Carolyn</cp:lastModifiedBy>
  <cp:revision>2</cp:revision>
  <cp:lastPrinted>2015-08-10T03:30:00Z</cp:lastPrinted>
  <dcterms:created xsi:type="dcterms:W3CDTF">2017-12-26T02:15:00Z</dcterms:created>
  <dcterms:modified xsi:type="dcterms:W3CDTF">2017-12-26T02:15:00Z</dcterms:modified>
</cp:coreProperties>
</file>